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240.0" w:type="dxa"/>
              <w:left w:w="300.0" w:type="dxa"/>
              <w:bottom w:w="120.0" w:type="dxa"/>
              <w:right w:w="300.0" w:type="dxa"/>
            </w:tcMar>
          </w:tcPr>
          <w:p w:rsidR="00000000" w:rsidDel="00000000" w:rsidP="00000000" w:rsidRDefault="00000000" w:rsidRPr="00000000" w14:paraId="00000002">
            <w:pPr>
              <w:jc w:val="center"/>
              <w:rPr/>
            </w:pPr>
            <w:r w:rsidDel="00000000" w:rsidR="00000000" w:rsidRPr="00000000">
              <w:rPr>
                <w:rFonts w:ascii="Arial" w:cs="Arial" w:eastAsia="Arial" w:hAnsi="Arial"/>
                <w:color w:val="bdd7ee"/>
                <w:sz w:val="18"/>
                <w:szCs w:val="18"/>
                <w:rtl w:val="0"/>
              </w:rPr>
              <w:t xml:space="preserve">Project Report</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Arial" w:cs="Arial" w:eastAsia="Arial" w:hAnsi="Arial"/>
                <w:b w:val="1"/>
                <w:bCs w:val="1"/>
                <w:color w:val="ffffff"/>
                <w:sz w:val="36"/>
                <w:szCs w:val="36"/>
                <w:rtl w:val="0"/>
              </w:rPr>
              <w:t xml:space="preserve">Anime Data Analysis System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bdd7ee"/>
                <w:sz w:val="20"/>
                <w:szCs w:val="20"/>
                <w:rtl w:val="0"/>
              </w:rPr>
              <w:t xml:space="preserve">HCI Assignment 2025-2026 </w:t>
            </w:r>
            <w:r w:rsidDel="00000000" w:rsidR="00000000" w:rsidRPr="00000000">
              <w:rPr>
                <w:rtl w:val="0"/>
              </w:rPr>
            </w:r>
          </w:p>
        </w:tc>
      </w:tr>
    </w:tbl>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Introduction</w:t>
      </w:r>
      <w:r w:rsidDel="00000000" w:rsidR="00000000" w:rsidRPr="00000000">
        <w:rPr>
          <w:rtl w:val="0"/>
        </w:rPr>
      </w:r>
    </w:p>
    <w:p w:rsidR="00000000" w:rsidDel="00000000" w:rsidP="00000000" w:rsidRDefault="00000000" w:rsidRPr="00000000" w14:paraId="00000007">
      <w:pPr>
        <w:spacing w:after="60" w:before="60" w:lineRule="auto"/>
        <w:jc w:val="both"/>
        <w:rPr/>
      </w:pPr>
      <w:r w:rsidDel="00000000" w:rsidR="00000000" w:rsidRPr="00000000">
        <w:rPr>
          <w:rFonts w:ascii="Arial" w:cs="Arial" w:eastAsia="Arial" w:hAnsi="Arial"/>
          <w:sz w:val="20"/>
          <w:szCs w:val="20"/>
          <w:rtl w:val="0"/>
        </w:rPr>
        <w:t xml:space="preserve">This report documents the design and implementation of an interactive data analysis system for anime fans and journalists, developed as part of the HCI 2025-2026 assignment. The system is built upon a rich dataset covering 28,955 anime titles and millions of user interactions, and is organised as a set of four Jupyter Notebooks, each addressing a distinct analytical dimension.</w:t>
      </w:r>
      <w:r w:rsidDel="00000000" w:rsidR="00000000" w:rsidRPr="00000000">
        <w:rPr>
          <w:rtl w:val="0"/>
        </w:rPr>
      </w:r>
    </w:p>
    <w:p w:rsidR="00000000" w:rsidDel="00000000" w:rsidP="00000000" w:rsidRDefault="00000000" w:rsidRPr="00000000" w14:paraId="00000008">
      <w:pPr>
        <w:spacing w:after="60" w:before="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is structured around three core pipelines: </w:t>
      </w:r>
    </w:p>
    <w:p w:rsidR="00000000" w:rsidDel="00000000" w:rsidP="00000000" w:rsidRDefault="00000000" w:rsidRPr="00000000" w14:paraId="00000009">
      <w:pPr>
        <w:spacing w:after="60" w:before="60" w:lineRule="auto"/>
        <w:jc w:val="both"/>
        <w:rPr/>
      </w:pPr>
      <w:r w:rsidDel="00000000" w:rsidR="00000000" w:rsidRPr="00000000">
        <w:rPr>
          <w:rFonts w:ascii="Arial" w:cs="Arial" w:eastAsia="Arial" w:hAnsi="Arial"/>
          <w:sz w:val="20"/>
          <w:szCs w:val="20"/>
          <w:rtl w:val="0"/>
        </w:rPr>
        <w:t xml:space="preserve">1)  a data cleaning phase that prepares and optimises raw CSV data for downstream analysis; </w:t>
      </w:r>
      <w:r w:rsidDel="00000000" w:rsidR="00000000" w:rsidRPr="00000000">
        <w:rPr>
          <w:rtl w:val="0"/>
        </w:rPr>
      </w:r>
    </w:p>
    <w:p w:rsidR="00000000" w:rsidDel="00000000" w:rsidP="00000000" w:rsidRDefault="00000000" w:rsidRPr="00000000" w14:paraId="0000000A">
      <w:pPr>
        <w:spacing w:after="60" w:before="60" w:lineRule="auto"/>
        <w:jc w:val="both"/>
        <w:rPr/>
      </w:pPr>
      <w:r w:rsidDel="00000000" w:rsidR="00000000" w:rsidRPr="00000000">
        <w:rPr>
          <w:rFonts w:ascii="Arial" w:cs="Arial" w:eastAsia="Arial" w:hAnsi="Arial"/>
          <w:sz w:val="20"/>
          <w:szCs w:val="20"/>
          <w:rtl w:val="0"/>
        </w:rPr>
        <w:t xml:space="preserve">2) a historical and trend analysis exploring the evolution of the medium; </w:t>
      </w:r>
      <w:r w:rsidDel="00000000" w:rsidR="00000000" w:rsidRPr="00000000">
        <w:rPr>
          <w:rtl w:val="0"/>
        </w:rPr>
      </w:r>
    </w:p>
    <w:p w:rsidR="00000000" w:rsidDel="00000000" w:rsidP="00000000" w:rsidRDefault="00000000" w:rsidRPr="00000000" w14:paraId="0000000B">
      <w:pPr>
        <w:spacing w:after="60" w:before="60" w:lineRule="auto"/>
        <w:jc w:val="both"/>
        <w:rPr/>
      </w:pPr>
      <w:r w:rsidDel="00000000" w:rsidR="00000000" w:rsidRPr="00000000">
        <w:rPr>
          <w:rFonts w:ascii="Arial" w:cs="Arial" w:eastAsia="Arial" w:hAnsi="Arial"/>
          <w:sz w:val="20"/>
          <w:szCs w:val="20"/>
          <w:rtl w:val="0"/>
        </w:rPr>
        <w:t xml:space="preserve">3) an in-depth investigation of the mechanics of popularity and the forces that shape community preferences; </w:t>
      </w:r>
      <w:r w:rsidDel="00000000" w:rsidR="00000000" w:rsidRPr="00000000">
        <w:rPr>
          <w:rtl w:val="0"/>
        </w:rPr>
      </w:r>
    </w:p>
    <w:p w:rsidR="00000000" w:rsidDel="00000000" w:rsidP="00000000" w:rsidRDefault="00000000" w:rsidRPr="00000000" w14:paraId="0000000C">
      <w:pPr>
        <w:spacing w:after="60" w:before="60" w:lineRule="auto"/>
        <w:jc w:val="both"/>
        <w:rPr/>
      </w:pPr>
      <w:r w:rsidDel="00000000" w:rsidR="00000000" w:rsidRPr="00000000">
        <w:rPr>
          <w:rFonts w:ascii="Arial" w:cs="Arial" w:eastAsia="Arial" w:hAnsi="Arial"/>
          <w:sz w:val="20"/>
          <w:szCs w:val="20"/>
          <w:rtl w:val="0"/>
        </w:rPr>
        <w:t xml:space="preserve">4) a geopolitical analysis mapping consumption habits across countries and cultures.</w:t>
      </w:r>
      <w:r w:rsidDel="00000000" w:rsidR="00000000" w:rsidRPr="00000000">
        <w:rPr>
          <w:rtl w:val="0"/>
        </w:rPr>
      </w:r>
    </w:p>
    <w:p w:rsidR="00000000" w:rsidDel="00000000" w:rsidP="00000000" w:rsidRDefault="00000000" w:rsidRPr="00000000" w14:paraId="0000000D">
      <w:pPr>
        <w:spacing w:after="60" w:before="60" w:lineRule="auto"/>
        <w:jc w:val="both"/>
        <w:rPr/>
      </w:pPr>
      <w:r w:rsidDel="00000000" w:rsidR="00000000" w:rsidRPr="00000000">
        <w:rPr>
          <w:rFonts w:ascii="Arial" w:cs="Arial" w:eastAsia="Arial" w:hAnsi="Arial"/>
          <w:sz w:val="20"/>
          <w:szCs w:val="20"/>
          <w:rtl w:val="0"/>
        </w:rPr>
        <w:t xml:space="preserve">All implementation choices prioritise computational efficiency</w:t>
      </w:r>
      <w:r w:rsidDel="00000000" w:rsidR="00000000" w:rsidRPr="00000000">
        <w:rPr>
          <w:rtl w:val="0"/>
        </w:rPr>
        <w:t xml:space="preserve">, </w:t>
      </w:r>
      <w:r w:rsidDel="00000000" w:rsidR="00000000" w:rsidRPr="00000000">
        <w:rPr>
          <w:rFonts w:ascii="Arial" w:cs="Arial" w:eastAsia="Arial" w:hAnsi="Arial"/>
          <w:sz w:val="20"/>
          <w:szCs w:val="20"/>
          <w:rtl w:val="0"/>
        </w:rPr>
        <w:t xml:space="preserve">given datasets exceeding 90 million records</w:t>
      </w:r>
      <w:r w:rsidDel="00000000" w:rsidR="00000000" w:rsidRPr="00000000">
        <w:rPr>
          <w:rtl w:val="0"/>
        </w:rPr>
        <w:t xml:space="preserve">, </w:t>
      </w:r>
      <w:r w:rsidDel="00000000" w:rsidR="00000000" w:rsidRPr="00000000">
        <w:rPr>
          <w:rFonts w:ascii="Arial" w:cs="Arial" w:eastAsia="Arial" w:hAnsi="Arial"/>
          <w:sz w:val="20"/>
          <w:szCs w:val="20"/>
          <w:rtl w:val="0"/>
        </w:rPr>
        <w:t xml:space="preserve">maintainability of the codebase, and narrative quality for the target audience of fans and journalists. Generative AI tools were used during development to accelerate code generation and text drafting; all AI-generated outputs were critically reviewed, adapted, and fully understood by every group member.</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Task 1 – Data Cleaning</w:t>
      </w:r>
      <w:r w:rsidDel="00000000" w:rsidR="00000000" w:rsidRPr="00000000">
        <w:rPr>
          <w:rtl w:val="0"/>
        </w:rPr>
      </w:r>
    </w:p>
    <w:p w:rsidR="00000000" w:rsidDel="00000000" w:rsidP="00000000" w:rsidRDefault="00000000" w:rsidRPr="00000000" w14:paraId="00000010">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Solution — Design and Motivations</w:t>
      </w:r>
      <w:r w:rsidDel="00000000" w:rsidR="00000000" w:rsidRPr="00000000">
        <w:rPr>
          <w:rtl w:val="0"/>
        </w:rPr>
      </w:r>
    </w:p>
    <w:p w:rsidR="00000000" w:rsidDel="00000000" w:rsidP="00000000" w:rsidRDefault="00000000" w:rsidRPr="00000000" w14:paraId="00000011">
      <w:pPr>
        <w:spacing w:after="60" w:before="60" w:lineRule="auto"/>
        <w:jc w:val="both"/>
        <w:rPr/>
      </w:pPr>
      <w:r w:rsidDel="00000000" w:rsidR="00000000" w:rsidRPr="00000000">
        <w:rPr>
          <w:rFonts w:ascii="Arial" w:cs="Arial" w:eastAsia="Arial" w:hAnsi="Arial"/>
          <w:sz w:val="20"/>
          <w:szCs w:val="20"/>
          <w:rtl w:val="0"/>
        </w:rPr>
        <w:t xml:space="preserve">The data cleaning notebook processes all twelve raw CSV files into compact, analysis-ready Parquet files stored in the /data/ directory. The key design decisions are:</w:t>
      </w: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60.0" w:type="dxa"/>
              <w:left w:w="120.0" w:type="dxa"/>
              <w:bottom w:w="60.0" w:type="dxa"/>
              <w:right w:w="120.0" w:type="dxa"/>
            </w:tcMar>
          </w:tcPr>
          <w:p w:rsidR="00000000" w:rsidDel="00000000" w:rsidP="00000000" w:rsidRDefault="00000000" w:rsidRPr="00000000" w14:paraId="00000012">
            <w:pPr>
              <w:spacing w:after="30" w:before="30" w:lineRule="auto"/>
              <w:rPr/>
            </w:pPr>
            <w:r w:rsidDel="00000000" w:rsidR="00000000" w:rsidRPr="00000000">
              <w:rPr>
                <w:rFonts w:ascii="Arial" w:cs="Arial" w:eastAsia="Arial" w:hAnsi="Arial"/>
                <w:b w:val="1"/>
                <w:bCs w:val="1"/>
                <w:color w:val="ffffff"/>
                <w:sz w:val="20"/>
                <w:szCs w:val="20"/>
                <w:rtl w:val="0"/>
              </w:rPr>
              <w:t xml:space="preserve">Design Choices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13">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Type downscaling</w:t>
            </w:r>
            <w:r w:rsidDel="00000000" w:rsidR="00000000" w:rsidRPr="00000000">
              <w:rPr>
                <w:rFonts w:ascii="Arial" w:cs="Arial" w:eastAsia="Arial" w:hAnsi="Arial"/>
                <w:sz w:val="20"/>
                <w:szCs w:val="20"/>
                <w:rtl w:val="0"/>
              </w:rPr>
              <w:t xml:space="preserve">: integer IDs are cast to int32 and categorical columns (e.g. role, location) are stored as pandas category dtype, reducing memory by 60–70%.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14">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Duplicate removal</w:t>
            </w:r>
            <w:r w:rsidDel="00000000" w:rsidR="00000000" w:rsidRPr="00000000">
              <w:rPr>
                <w:rFonts w:ascii="Arial" w:cs="Arial" w:eastAsia="Arial" w:hAnsi="Arial"/>
                <w:sz w:val="20"/>
                <w:szCs w:val="20"/>
                <w:rtl w:val="0"/>
              </w:rPr>
              <w:t xml:space="preserve">: key-pair duplicates in relational tables (e.g. character_anime_works) are removed keeping the first occurrence, preserving statistical validity.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15">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NaN handling</w:t>
            </w:r>
            <w:r w:rsidDel="00000000" w:rsidR="00000000" w:rsidRPr="00000000">
              <w:rPr>
                <w:rFonts w:ascii="Arial" w:cs="Arial" w:eastAsia="Arial" w:hAnsi="Arial"/>
                <w:sz w:val="20"/>
                <w:szCs w:val="20"/>
                <w:rtl w:val="0"/>
              </w:rPr>
              <w:t xml:space="preserve">: critical ID columns are checked and rows with missing foreign keys are dropped; numeric columns such as favorites are filled with 0 before integer conversion.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16">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Parquet output</w:t>
            </w:r>
            <w:r w:rsidDel="00000000" w:rsidR="00000000" w:rsidRPr="00000000">
              <w:rPr>
                <w:rFonts w:ascii="Arial" w:cs="Arial" w:eastAsia="Arial" w:hAnsi="Arial"/>
                <w:sz w:val="20"/>
                <w:szCs w:val="20"/>
                <w:rtl w:val="0"/>
              </w:rPr>
              <w:t xml:space="preserve">: saving cleaned data in Parquet preserves dtypes across sessions and enables fast columnar reads essential for the 124 M-row ratings 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17">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Outlier categorisation</w:t>
            </w:r>
            <w:r w:rsidDel="00000000" w:rsidR="00000000" w:rsidRPr="00000000">
              <w:rPr>
                <w:rFonts w:ascii="Arial" w:cs="Arial" w:eastAsia="Arial" w:hAnsi="Arial"/>
                <w:sz w:val="20"/>
                <w:szCs w:val="20"/>
                <w:rtl w:val="0"/>
              </w:rPr>
              <w:t xml:space="preserve">: instead of removing high-favorite characters (e.g. max 175,632), a categorical variable (Niche / Mainstream / Top Tier) is derived, converting an outlier into a narrative asset.</w:t>
            </w:r>
            <w:r w:rsidDel="00000000" w:rsidR="00000000" w:rsidRPr="00000000">
              <w:rPr>
                <w:rtl w:val="0"/>
              </w:rPr>
            </w:r>
          </w:p>
        </w:tc>
      </w:tr>
    </w:tbl>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Issues</w:t>
      </w:r>
      <w:r w:rsidDel="00000000" w:rsidR="00000000" w:rsidRPr="00000000">
        <w:rPr>
          <w:rtl w:val="0"/>
        </w:rPr>
      </w:r>
    </w:p>
    <w:p w:rsidR="00000000" w:rsidDel="00000000" w:rsidP="00000000" w:rsidRDefault="00000000" w:rsidRPr="00000000" w14:paraId="0000001A">
      <w:pPr>
        <w:spacing w:after="60" w:before="60" w:lineRule="auto"/>
        <w:jc w:val="both"/>
        <w:rPr/>
      </w:pPr>
      <w:r w:rsidDel="00000000" w:rsidR="00000000" w:rsidRPr="00000000">
        <w:rPr>
          <w:rFonts w:ascii="Arial" w:cs="Arial" w:eastAsia="Arial" w:hAnsi="Arial"/>
          <w:sz w:val="20"/>
          <w:szCs w:val="20"/>
          <w:rtl w:val="0"/>
        </w:rPr>
        <w:t xml:space="preserve">The main challenges encountered during the cleaning phase were:</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dd7ee" w:val="clear"/>
            <w:tcMar>
              <w:top w:w="60.0" w:type="dxa"/>
              <w:left w:w="120.0" w:type="dxa"/>
              <w:bottom w:w="60.0" w:type="dxa"/>
              <w:right w:w="120.0" w:type="dxa"/>
            </w:tcMar>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1"/>
                <w:bCs w:val="1"/>
                <w:color w:val="1f4e79"/>
                <w:sz w:val="20"/>
                <w:szCs w:val="20"/>
                <w:rtl w:val="0"/>
              </w:rPr>
              <w:t xml:space="preserve">Challenges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MemoryError risk on merge operations across 90+ million rows required dictionary-mapping strategies instead of standard pd.merge().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Data imputation artifacts: archiving systems default unknown release months to January 1st, producing misleading seasonal peaks that must be documented rather than silently removed.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Float64 vs. integer mismatch in the favorites column required explicit fillna(0) before type casting.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Parquet compatibility: list-typed columns (e.g. genres stored as Python lists) required a custom str_to_list utility before serialisation.</w:t>
            </w:r>
            <w:r w:rsidDel="00000000" w:rsidR="00000000" w:rsidRPr="00000000">
              <w:rPr>
                <w:rtl w:val="0"/>
              </w:rPr>
            </w:r>
          </w:p>
        </w:tc>
      </w:tr>
    </w:tbl>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Requirements</w:t>
      </w:r>
      <w:r w:rsidDel="00000000" w:rsidR="00000000" w:rsidRPr="00000000">
        <w:rPr>
          <w:rtl w:val="0"/>
        </w:rPr>
      </w:r>
    </w:p>
    <w:p w:rsidR="00000000" w:rsidDel="00000000" w:rsidP="00000000" w:rsidRDefault="00000000" w:rsidRPr="00000000" w14:paraId="00000022">
      <w:pPr>
        <w:spacing w:after="60" w:before="60" w:lineRule="auto"/>
        <w:jc w:val="both"/>
        <w:rPr/>
      </w:pPr>
      <w:r w:rsidDel="00000000" w:rsidR="00000000" w:rsidRPr="00000000">
        <w:rPr>
          <w:rFonts w:ascii="Arial" w:cs="Arial" w:eastAsia="Arial" w:hAnsi="Arial"/>
          <w:sz w:val="20"/>
          <w:szCs w:val="20"/>
          <w:rtl w:val="0"/>
        </w:rPr>
        <w:t xml:space="preserve">The cleaning pipeline fully satisfies the assignment's functional requirements: all downstream notebooks can load data without further preprocessing, and the system runs on a standard laptop without installing non-standard libraries beyond pip-declared dependencies (pandas, pyarrow, numpy).</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Limitations</w:t>
      </w:r>
      <w:r w:rsidDel="00000000" w:rsidR="00000000" w:rsidRPr="00000000">
        <w:rPr>
          <w:rtl w:val="0"/>
        </w:rPr>
      </w:r>
    </w:p>
    <w:p w:rsidR="00000000" w:rsidDel="00000000" w:rsidP="00000000" w:rsidRDefault="00000000" w:rsidRPr="00000000" w14:paraId="00000025">
      <w:pPr>
        <w:spacing w:after="60" w:before="60" w:lineRule="auto"/>
        <w:jc w:val="both"/>
        <w:rPr/>
      </w:pPr>
      <w:r w:rsidDel="00000000" w:rsidR="00000000" w:rsidRPr="00000000">
        <w:rPr>
          <w:rFonts w:ascii="Arial" w:cs="Arial" w:eastAsia="Arial" w:hAnsi="Arial"/>
          <w:sz w:val="20"/>
          <w:szCs w:val="20"/>
          <w:rtl w:val="0"/>
        </w:rPr>
        <w:t xml:space="preserve">The location field in Profiles contains free-text user input and is not normalised to ISO country codes; cleaning is heuristic. The data imputation artifact in January counts cannot be fully resolved without an authoritative external source. The Parquet files require the pyarrow engine; environments without it must fall back to CSV.</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Task 2 – History and Anime</w:t>
      </w:r>
      <w:r w:rsidDel="00000000" w:rsidR="00000000" w:rsidRPr="00000000">
        <w:rPr>
          <w:rtl w:val="0"/>
        </w:rPr>
      </w:r>
    </w:p>
    <w:p w:rsidR="00000000" w:rsidDel="00000000" w:rsidP="00000000" w:rsidRDefault="00000000" w:rsidRPr="00000000" w14:paraId="00000028">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Solution — Design and Motivations</w:t>
      </w:r>
      <w:r w:rsidDel="00000000" w:rsidR="00000000" w:rsidRPr="00000000">
        <w:rPr>
          <w:rtl w:val="0"/>
        </w:rPr>
      </w:r>
    </w:p>
    <w:p w:rsidR="00000000" w:rsidDel="00000000" w:rsidP="00000000" w:rsidRDefault="00000000" w:rsidRPr="00000000" w14:paraId="00000029">
      <w:pPr>
        <w:spacing w:after="60" w:before="60" w:lineRule="auto"/>
        <w:jc w:val="both"/>
        <w:rPr/>
      </w:pPr>
      <w:r w:rsidDel="00000000" w:rsidR="00000000" w:rsidRPr="00000000">
        <w:rPr>
          <w:rFonts w:ascii="Arial" w:cs="Arial" w:eastAsia="Arial" w:hAnsi="Arial"/>
          <w:sz w:val="20"/>
          <w:szCs w:val="20"/>
          <w:rtl w:val="0"/>
        </w:rPr>
        <w:t xml:space="preserve">This notebook narrates the 110-year history of Japanese animation through a sequence of linked visualisations, building a data-driven storytelling arc. Each chart is backed by historical context, transforming raw statistics into journalist-ready insights.</w:t>
      </w: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60.0" w:type="dxa"/>
              <w:left w:w="120.0" w:type="dxa"/>
              <w:bottom w:w="60.0" w:type="dxa"/>
              <w:right w:w="120.0" w:type="dxa"/>
            </w:tcMar>
          </w:tcPr>
          <w:p w:rsidR="00000000" w:rsidDel="00000000" w:rsidP="00000000" w:rsidRDefault="00000000" w:rsidRPr="00000000" w14:paraId="0000002A">
            <w:pPr>
              <w:spacing w:after="30" w:before="30" w:lineRule="auto"/>
              <w:rPr/>
            </w:pPr>
            <w:r w:rsidDel="00000000" w:rsidR="00000000" w:rsidRPr="00000000">
              <w:rPr>
                <w:rFonts w:ascii="Arial" w:cs="Arial" w:eastAsia="Arial" w:hAnsi="Arial"/>
                <w:b w:val="1"/>
                <w:bCs w:val="1"/>
                <w:color w:val="ffffff"/>
                <w:sz w:val="20"/>
                <w:szCs w:val="20"/>
                <w:rtl w:val="0"/>
              </w:rPr>
              <w:t xml:space="preserve">Key Visualisations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2B">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Pioneer Genre Bar Chart (1910-1960)</w:t>
            </w:r>
            <w:r w:rsidDel="00000000" w:rsidR="00000000" w:rsidRPr="00000000">
              <w:rPr>
                <w:rFonts w:ascii="Arial" w:cs="Arial" w:eastAsia="Arial" w:hAnsi="Arial"/>
                <w:sz w:val="20"/>
                <w:szCs w:val="20"/>
                <w:rtl w:val="0"/>
              </w:rPr>
              <w:t xml:space="preserve">: reveals Comedy as the dominant silent-era genre due to the visual-only constraint, and highlights state-funded Fantasy/Adventure as a wartime propaganda tool.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2C">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Format Evolution Area Chart</w:t>
            </w:r>
            <w:r w:rsidDel="00000000" w:rsidR="00000000" w:rsidRPr="00000000">
              <w:rPr>
                <w:rFonts w:ascii="Arial" w:cs="Arial" w:eastAsia="Arial" w:hAnsi="Arial"/>
                <w:sz w:val="20"/>
                <w:szCs w:val="20"/>
                <w:rtl w:val="0"/>
              </w:rPr>
              <w:t xml:space="preserve">: maps the OVA boom of the 1980s-90s (driven by VHS), the ONA explosion of the 2010s (streaming era), and the proliferation of micro-promotional formats.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2D">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Production Seasonality Heatmap</w:t>
            </w:r>
            <w:r w:rsidDel="00000000" w:rsidR="00000000" w:rsidRPr="00000000">
              <w:rPr>
                <w:rFonts w:ascii="Arial" w:cs="Arial" w:eastAsia="Arial" w:hAnsi="Arial"/>
                <w:sz w:val="20"/>
                <w:szCs w:val="20"/>
                <w:rtl w:val="0"/>
              </w:rPr>
              <w:t xml:space="preserve">: exposes the January data-imputation artifact and the crystallisation of the quarterly 'cour' broadcast system from the 1990s onward.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2E">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Genre Market Share Evolution &amp; Score Distribution by Decade</w:t>
            </w:r>
            <w:r w:rsidDel="00000000" w:rsidR="00000000" w:rsidRPr="00000000">
              <w:rPr>
                <w:rFonts w:ascii="Arial" w:cs="Arial" w:eastAsia="Arial" w:hAnsi="Arial"/>
                <w:sz w:val="20"/>
                <w:szCs w:val="20"/>
                <w:rtl w:val="0"/>
              </w:rPr>
              <w:t xml:space="preserve">: documents the Sci-Fi decline (post-economic bubble), the Fantasy/Isekai explosion (escapism), and the rising quality baseline driven by digital animation pipelines.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2F">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Target Demographic Evolution</w:t>
            </w:r>
            <w:r w:rsidDel="00000000" w:rsidR="00000000" w:rsidRPr="00000000">
              <w:rPr>
                <w:rFonts w:ascii="Arial" w:cs="Arial" w:eastAsia="Arial" w:hAnsi="Arial"/>
                <w:sz w:val="20"/>
                <w:szCs w:val="20"/>
                <w:rtl w:val="0"/>
              </w:rPr>
              <w:t xml:space="preserve">: traces the maturation of the Otaku generation and the rise of Seinen late-night programming.</w:t>
            </w:r>
            <w:r w:rsidDel="00000000" w:rsidR="00000000" w:rsidRPr="00000000">
              <w:rPr>
                <w:rtl w:val="0"/>
              </w:rPr>
            </w:r>
          </w:p>
        </w:tc>
      </w:tr>
    </w:tbl>
    <w:p w:rsidR="00000000" w:rsidDel="00000000" w:rsidP="00000000" w:rsidRDefault="00000000" w:rsidRPr="00000000" w14:paraId="00000030">
      <w:pPr>
        <w:spacing w:after="60" w:before="60" w:lineRule="auto"/>
        <w:jc w:val="both"/>
        <w:rPr/>
      </w:pPr>
      <w:r w:rsidDel="00000000" w:rsidR="00000000" w:rsidRPr="00000000">
        <w:rPr>
          <w:rFonts w:ascii="Arial" w:cs="Arial" w:eastAsia="Arial" w:hAnsi="Arial"/>
          <w:sz w:val="20"/>
          <w:szCs w:val="20"/>
          <w:rtl w:val="0"/>
        </w:rPr>
        <w:t xml:space="preserve">A utility module (utils_historic.py) centralises all plotting functions, keeping the notebook clean and the logic reusable.</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Issues</w:t>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dd7ee" w:val="clear"/>
            <w:tcMar>
              <w:top w:w="60.0" w:type="dxa"/>
              <w:left w:w="120.0" w:type="dxa"/>
              <w:bottom w:w="60.0" w:type="dxa"/>
              <w:right w:w="12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b w:val="1"/>
                <w:bCs w:val="1"/>
                <w:color w:val="1f4e79"/>
                <w:sz w:val="20"/>
                <w:szCs w:val="20"/>
                <w:rtl w:val="0"/>
              </w:rPr>
              <w:t xml:space="preserve">Challenges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The January imputation artifact in the seasonality heatmap required explicit documentation rather than removal, to avoid misleading journalists.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The 2020s decade appears truncated in volume charts — a statistical artifact of data recency (incomplete decade) compounded by COVID-19 production delays.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Parsing date columns from heterogeneous formats across different CSV files required robust error handling in the load_data utility.</w:t>
            </w:r>
            <w:r w:rsidDel="00000000" w:rsidR="00000000" w:rsidRPr="00000000">
              <w:rPr>
                <w:rtl w:val="0"/>
              </w:rPr>
            </w:r>
          </w:p>
        </w:tc>
      </w:tr>
    </w:tbl>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Requirements</w:t>
      </w:r>
      <w:r w:rsidDel="00000000" w:rsidR="00000000" w:rsidRPr="00000000">
        <w:rPr>
          <w:rtl w:val="0"/>
        </w:rPr>
      </w:r>
    </w:p>
    <w:p w:rsidR="00000000" w:rsidDel="00000000" w:rsidP="00000000" w:rsidRDefault="00000000" w:rsidRPr="00000000" w14:paraId="00000039">
      <w:pPr>
        <w:spacing w:after="60" w:before="60" w:lineRule="auto"/>
        <w:jc w:val="both"/>
        <w:rPr/>
      </w:pPr>
      <w:r w:rsidDel="00000000" w:rsidR="00000000" w:rsidRPr="00000000">
        <w:rPr>
          <w:rFonts w:ascii="Arial" w:cs="Arial" w:eastAsia="Arial" w:hAnsi="Arial"/>
          <w:sz w:val="20"/>
          <w:szCs w:val="20"/>
          <w:rtl w:val="0"/>
        </w:rPr>
        <w:t xml:space="preserve">The notebook answers the assignment's brief for fans and journalists: it provides contextual narrative alongside each chart, explains statistical artifacts, and is fully interactive via Plotly where appropriate. All required dataset fields (details, favs, person data) are used.</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Limitations</w:t>
      </w:r>
      <w:r w:rsidDel="00000000" w:rsidR="00000000" w:rsidRPr="00000000">
        <w:rPr>
          <w:rtl w:val="0"/>
        </w:rPr>
      </w:r>
    </w:p>
    <w:p w:rsidR="00000000" w:rsidDel="00000000" w:rsidP="00000000" w:rsidRDefault="00000000" w:rsidRPr="00000000" w14:paraId="0000003C">
      <w:pPr>
        <w:spacing w:after="60" w:before="60" w:lineRule="auto"/>
        <w:jc w:val="both"/>
        <w:rPr/>
      </w:pPr>
      <w:r w:rsidDel="00000000" w:rsidR="00000000" w:rsidRPr="00000000">
        <w:rPr>
          <w:rFonts w:ascii="Arial" w:cs="Arial" w:eastAsia="Arial" w:hAnsi="Arial"/>
          <w:sz w:val="20"/>
          <w:szCs w:val="20"/>
          <w:rtl w:val="0"/>
        </w:rPr>
        <w:t xml:space="preserve">Historical claims are based solely on MAL community data and may not perfectly reflect Japanese broadcast ratings or industry revenues. Pre-1960 data is extremely sparse (&lt; 20 titles), so genre distributions for the pioneering era should be interpreted cautiously. The notebook does not cover non-Japanese productions.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Task 3 – The Anatomy of Anime Popularity</w:t>
      </w:r>
      <w:r w:rsidDel="00000000" w:rsidR="00000000" w:rsidRPr="00000000">
        <w:rPr>
          <w:rtl w:val="0"/>
        </w:rPr>
      </w:r>
    </w:p>
    <w:p w:rsidR="00000000" w:rsidDel="00000000" w:rsidP="00000000" w:rsidRDefault="00000000" w:rsidRPr="00000000" w14:paraId="0000003F">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Solution — Design and Motivations</w:t>
      </w:r>
      <w:r w:rsidDel="00000000" w:rsidR="00000000" w:rsidRPr="00000000">
        <w:rPr>
          <w:rtl w:val="0"/>
        </w:rPr>
      </w:r>
    </w:p>
    <w:p w:rsidR="00000000" w:rsidDel="00000000" w:rsidP="00000000" w:rsidRDefault="00000000" w:rsidRPr="00000000" w14:paraId="00000040">
      <w:pPr>
        <w:spacing w:after="60" w:before="60" w:lineRule="auto"/>
        <w:jc w:val="both"/>
        <w:rPr/>
      </w:pPr>
      <w:r w:rsidDel="00000000" w:rsidR="00000000" w:rsidRPr="00000000">
        <w:rPr>
          <w:rFonts w:ascii="Arial" w:cs="Arial" w:eastAsia="Arial" w:hAnsi="Arial"/>
          <w:sz w:val="20"/>
          <w:szCs w:val="20"/>
          <w:rtl w:val="0"/>
        </w:rPr>
        <w:t xml:space="preserve">This notebook shifts the lens from history to mechanics, answering: what actually makes an anime successful today? Six interconnected analyses are developed, each targeting a specific driver of popularity.</w:t>
      </w: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60.0" w:type="dxa"/>
              <w:left w:w="120.0" w:type="dxa"/>
              <w:bottom w:w="60.0" w:type="dxa"/>
              <w:right w:w="120.0" w:type="dxa"/>
            </w:tcMar>
          </w:tcPr>
          <w:p w:rsidR="00000000" w:rsidDel="00000000" w:rsidP="00000000" w:rsidRDefault="00000000" w:rsidRPr="00000000" w14:paraId="00000041">
            <w:pPr>
              <w:spacing w:after="30" w:before="30" w:lineRule="auto"/>
              <w:rPr/>
            </w:pPr>
            <w:r w:rsidDel="00000000" w:rsidR="00000000" w:rsidRPr="00000000">
              <w:rPr>
                <w:rFonts w:ascii="Arial" w:cs="Arial" w:eastAsia="Arial" w:hAnsi="Arial"/>
                <w:b w:val="1"/>
                <w:bCs w:val="1"/>
                <w:color w:val="ffffff"/>
                <w:sz w:val="20"/>
                <w:szCs w:val="20"/>
                <w:rtl w:val="0"/>
              </w:rPr>
              <w:t xml:space="preserve">Analytical Modules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42">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Popularity vs. Prestige (side-by-side bar)</w:t>
            </w:r>
            <w:r w:rsidDel="00000000" w:rsidR="00000000" w:rsidRPr="00000000">
              <w:rPr>
                <w:rFonts w:ascii="Arial" w:cs="Arial" w:eastAsia="Arial" w:hAnsi="Arial"/>
                <w:sz w:val="20"/>
                <w:szCs w:val="20"/>
                <w:rtl w:val="0"/>
              </w:rPr>
              <w:t xml:space="preserve">: contrasts the top 15 most-viewed with the top 15 highest-rated titles, revealing that mainstream viewership and critical acclaim rarely overlap.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43">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Genre Distribution + Interactive Genre Explorer (Plotly widget)</w:t>
            </w:r>
            <w:r w:rsidDel="00000000" w:rsidR="00000000" w:rsidRPr="00000000">
              <w:rPr>
                <w:rFonts w:ascii="Arial" w:cs="Arial" w:eastAsia="Arial" w:hAnsi="Arial"/>
                <w:sz w:val="20"/>
                <w:szCs w:val="20"/>
                <w:rtl w:val="0"/>
              </w:rPr>
              <w:t xml:space="preserve">: allows any user to drill into the Top 10 per genre, exposing franchise monopolies (e.g. Gintama in Comedy) and genre score ceilings.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44">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Volume vs. Quality Scatter (genre-level)</w:t>
            </w:r>
            <w:r w:rsidDel="00000000" w:rsidR="00000000" w:rsidRPr="00000000">
              <w:rPr>
                <w:rFonts w:ascii="Arial" w:cs="Arial" w:eastAsia="Arial" w:hAnsi="Arial"/>
                <w:sz w:val="20"/>
                <w:szCs w:val="20"/>
                <w:rtl w:val="0"/>
              </w:rPr>
              <w:t xml:space="preserve">: maps 'safe bet' genres vs. prestige niches vs. punished categories on a two-axis plane.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45">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Studio Consistency Bubble Chart</w:t>
            </w:r>
            <w:r w:rsidDel="00000000" w:rsidR="00000000" w:rsidRPr="00000000">
              <w:rPr>
                <w:rFonts w:ascii="Arial" w:cs="Arial" w:eastAsia="Arial" w:hAnsi="Arial"/>
                <w:sz w:val="20"/>
                <w:szCs w:val="20"/>
                <w:rtl w:val="0"/>
              </w:rPr>
              <w:t xml:space="preserve">: plots studios by average score, score variance, and production volume — identifying industrial titans (Toei), boutique studios (Shuka), and the KyoAni anomaly.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46">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Voice Actor Star Power Violin Plot</w:t>
            </w:r>
            <w:r w:rsidDel="00000000" w:rsidR="00000000" w:rsidRPr="00000000">
              <w:rPr>
                <w:rFonts w:ascii="Arial" w:cs="Arial" w:eastAsia="Arial" w:hAnsi="Arial"/>
                <w:sz w:val="20"/>
                <w:szCs w:val="20"/>
                <w:rtl w:val="0"/>
              </w:rPr>
              <w:t xml:space="preserve">: tests the hypothesis that A-list cast guarantees higher scores; the data disproves it, with flat medians across all four tiers.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47">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Character Popularity Scatter + Role Violin</w:t>
            </w:r>
            <w:r w:rsidDel="00000000" w:rsidR="00000000" w:rsidRPr="00000000">
              <w:rPr>
                <w:rFonts w:ascii="Arial" w:cs="Arial" w:eastAsia="Arial" w:hAnsi="Arial"/>
                <w:sz w:val="20"/>
                <w:szCs w:val="20"/>
                <w:rtl w:val="0"/>
              </w:rPr>
              <w:t xml:space="preserve">: maps character-level engagement against show popularity and role type, proving that supporting cast quality is a primary driver of fan retention.</w:t>
            </w:r>
            <w:r w:rsidDel="00000000" w:rsidR="00000000" w:rsidRPr="00000000">
              <w:rPr>
                <w:rtl w:val="0"/>
              </w:rPr>
            </w:r>
          </w:p>
        </w:tc>
      </w:tr>
    </w:tbl>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Issues</w:t>
      </w: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dd7ee" w:val="clear"/>
            <w:tcMar>
              <w:top w:w="60.0" w:type="dxa"/>
              <w:left w:w="120.0" w:type="dxa"/>
              <w:bottom w:w="60.0" w:type="dxa"/>
              <w:right w:w="12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1f4e79"/>
                <w:sz w:val="20"/>
                <w:szCs w:val="20"/>
                <w:rtl w:val="0"/>
              </w:rPr>
              <w:t xml:space="preserve">Challenges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Computing cast 'Star Power' required a multi-step join across person_voice_works, person_details, and details — expensive on 76k+ person records — solved by pre-filtering to voice roles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The character scatter plot contained over 200k data points, requiring alpha blending and log-scale axes to remain interpretable.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Survivorship bias in sequel ratings (only dedicated fans watch season 4+) is documented explicitly to avoid misleading journalists about franchise quality.</w:t>
            </w:r>
            <w:r w:rsidDel="00000000" w:rsidR="00000000" w:rsidRPr="00000000">
              <w:rPr>
                <w:rtl w:val="0"/>
              </w:rPr>
            </w:r>
          </w:p>
        </w:tc>
      </w:tr>
    </w:tbl>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Requirements</w:t>
      </w:r>
      <w:r w:rsidDel="00000000" w:rsidR="00000000" w:rsidRPr="00000000">
        <w:rPr>
          <w:rtl w:val="0"/>
        </w:rPr>
      </w:r>
    </w:p>
    <w:p w:rsidR="00000000" w:rsidDel="00000000" w:rsidP="00000000" w:rsidRDefault="00000000" w:rsidRPr="00000000" w14:paraId="00000050">
      <w:pPr>
        <w:spacing w:after="60" w:before="60" w:lineRule="auto"/>
        <w:jc w:val="both"/>
        <w:rPr/>
      </w:pPr>
      <w:r w:rsidDel="00000000" w:rsidR="00000000" w:rsidRPr="00000000">
        <w:rPr>
          <w:rFonts w:ascii="Arial" w:cs="Arial" w:eastAsia="Arial" w:hAnsi="Arial"/>
          <w:sz w:val="20"/>
          <w:szCs w:val="20"/>
          <w:rtl w:val="0"/>
        </w:rPr>
        <w:t xml:space="preserve">All analyses use the datasets prescribed by the assignment (details, stats, characters, character_anime_works, ratings, profiles, person data). The interactive genre explorer directly addresses the requirement to support non-expert fans exploring specific areas of interest. The notebook is fully narrative with journalist-friendly section titles.</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Limitations</w:t>
      </w:r>
      <w:r w:rsidDel="00000000" w:rsidR="00000000" w:rsidRPr="00000000">
        <w:rPr>
          <w:rtl w:val="0"/>
        </w:rPr>
      </w:r>
    </w:p>
    <w:p w:rsidR="00000000" w:rsidDel="00000000" w:rsidP="00000000" w:rsidRDefault="00000000" w:rsidRPr="00000000" w14:paraId="00000053">
      <w:pPr>
        <w:spacing w:after="60" w:before="60" w:lineRule="auto"/>
        <w:jc w:val="both"/>
        <w:rPr/>
      </w:pPr>
      <w:r w:rsidDel="00000000" w:rsidR="00000000" w:rsidRPr="00000000">
        <w:rPr>
          <w:rFonts w:ascii="Arial" w:cs="Arial" w:eastAsia="Arial" w:hAnsi="Arial"/>
          <w:sz w:val="20"/>
          <w:szCs w:val="20"/>
          <w:rtl w:val="0"/>
        </w:rPr>
        <w:t xml:space="preserve">The MAL community is not demographically representative of all anime viewers globally (skewed toward English-speaking, tech-savvy users). Score inflation from social-media hype is acknowledged but cannot be fully corrected without external ground-truth data. The star-power analysis does not account for casting announcements before airing, which may inflate pre-release expectations.</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Task 4 – Countries and Anime</w:t>
      </w:r>
      <w:r w:rsidDel="00000000" w:rsidR="00000000" w:rsidRPr="00000000">
        <w:rPr>
          <w:rtl w:val="0"/>
        </w:rPr>
      </w:r>
    </w:p>
    <w:p w:rsidR="00000000" w:rsidDel="00000000" w:rsidP="00000000" w:rsidRDefault="00000000" w:rsidRPr="00000000" w14:paraId="00000056">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Solution — Design and Motivations</w:t>
      </w:r>
      <w:r w:rsidDel="00000000" w:rsidR="00000000" w:rsidRPr="00000000">
        <w:rPr>
          <w:rtl w:val="0"/>
        </w:rPr>
      </w:r>
    </w:p>
    <w:p w:rsidR="00000000" w:rsidDel="00000000" w:rsidP="00000000" w:rsidRDefault="00000000" w:rsidRPr="00000000" w14:paraId="00000057">
      <w:pPr>
        <w:spacing w:after="60" w:before="60" w:lineRule="auto"/>
        <w:jc w:val="both"/>
        <w:rPr/>
      </w:pPr>
      <w:r w:rsidDel="00000000" w:rsidR="00000000" w:rsidRPr="00000000">
        <w:rPr>
          <w:rFonts w:ascii="Arial" w:cs="Arial" w:eastAsia="Arial" w:hAnsi="Arial"/>
          <w:sz w:val="20"/>
          <w:szCs w:val="20"/>
          <w:rtl w:val="0"/>
        </w:rPr>
        <w:t xml:space="preserve">This notebook investigates the geopolitical dimension of anime consumption, processing over 92 million rating rows enriched with geographic profile data. All heavy computation is encapsulated in the functionsCountries.py module for clarity and reusability.</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60.0" w:type="dxa"/>
              <w:left w:w="120.0" w:type="dxa"/>
              <w:bottom w:w="60.0" w:type="dxa"/>
              <w:right w:w="120.0" w:type="dxa"/>
            </w:tcMar>
          </w:tcPr>
          <w:p w:rsidR="00000000" w:rsidDel="00000000" w:rsidP="00000000" w:rsidRDefault="00000000" w:rsidRPr="00000000" w14:paraId="00000058">
            <w:pPr>
              <w:spacing w:after="30" w:before="30" w:lineRule="auto"/>
              <w:rPr/>
            </w:pPr>
            <w:r w:rsidDel="00000000" w:rsidR="00000000" w:rsidRPr="00000000">
              <w:rPr>
                <w:rFonts w:ascii="Arial" w:cs="Arial" w:eastAsia="Arial" w:hAnsi="Arial"/>
                <w:b w:val="1"/>
                <w:bCs w:val="1"/>
                <w:color w:val="ffffff"/>
                <w:sz w:val="20"/>
                <w:szCs w:val="20"/>
                <w:rtl w:val="0"/>
              </w:rPr>
              <w:t xml:space="preserve">Analytical Modules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59">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Top 20 Countries Bar Chart (Plotly)</w:t>
            </w:r>
            <w:r w:rsidDel="00000000" w:rsidR="00000000" w:rsidRPr="00000000">
              <w:rPr>
                <w:rFonts w:ascii="Arial" w:cs="Arial" w:eastAsia="Arial" w:hAnsi="Arial"/>
                <w:sz w:val="20"/>
                <w:szCs w:val="20"/>
                <w:rtl w:val="0"/>
              </w:rPr>
              <w:t xml:space="preserve">: quantifies the Italian market at 6.6% of Japan and 10% of the US, with a structural analysis of the causes (demographics, linguistic access, domestic culture).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5A">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Global Choropleth Map (log-scale colour)</w:t>
            </w:r>
            <w:r w:rsidDel="00000000" w:rsidR="00000000" w:rsidRPr="00000000">
              <w:rPr>
                <w:rFonts w:ascii="Arial" w:cs="Arial" w:eastAsia="Arial" w:hAnsi="Arial"/>
                <w:sz w:val="20"/>
                <w:szCs w:val="20"/>
                <w:rtl w:val="0"/>
              </w:rPr>
              <w:t xml:space="preserve">: maps worldwide fan density using a log10 transformation to prevent outlier compression; reveals the digital divide in Africa and Central Asia.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5B">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Average Score by Country Choropleth (plasma palette, 95th-percentile anchoring)</w:t>
            </w:r>
            <w:r w:rsidDel="00000000" w:rsidR="00000000" w:rsidRPr="00000000">
              <w:rPr>
                <w:rFonts w:ascii="Arial" w:cs="Arial" w:eastAsia="Arial" w:hAnsi="Arial"/>
                <w:sz w:val="20"/>
                <w:szCs w:val="20"/>
                <w:rtl w:val="0"/>
              </w:rPr>
              <w:t xml:space="preserve">: maps rating 'generosity vs. severity' globally; Southeast Asia and the Middle East score highest, Eastern Europe lowest.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5C">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Violin Plot (Top 5 countries)</w:t>
            </w:r>
            <w:r w:rsidDel="00000000" w:rsidR="00000000" w:rsidRPr="00000000">
              <w:rPr>
                <w:rFonts w:ascii="Arial" w:cs="Arial" w:eastAsia="Arial" w:hAnsi="Arial"/>
                <w:sz w:val="20"/>
                <w:szCs w:val="20"/>
                <w:rtl w:val="0"/>
              </w:rPr>
              <w:t xml:space="preserve">: compares the full rating distribution shape across Japan, USA, Thailand, UK, Germany — revealing Thailand's disproportionate density at score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5D">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Italy vs. USA Radar Chart (normalised market shares)</w:t>
            </w:r>
            <w:r w:rsidDel="00000000" w:rsidR="00000000" w:rsidRPr="00000000">
              <w:rPr>
                <w:rFonts w:ascii="Arial" w:cs="Arial" w:eastAsia="Arial" w:hAnsi="Arial"/>
                <w:sz w:val="20"/>
                <w:szCs w:val="20"/>
                <w:rtl w:val="0"/>
              </w:rPr>
              <w:t xml:space="preserve">: proves the 'Monoculture Effect': both markets share an almost identical genre fingerprint driven by Action, Comedy, and Fantasy blockbusters.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5E">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Italy vs. Global Top 10 Side-by-Side Bar Chart</w:t>
            </w:r>
            <w:r w:rsidDel="00000000" w:rsidR="00000000" w:rsidRPr="00000000">
              <w:rPr>
                <w:rFonts w:ascii="Arial" w:cs="Arial" w:eastAsia="Arial" w:hAnsi="Arial"/>
                <w:sz w:val="20"/>
                <w:szCs w:val="20"/>
                <w:rtl w:val="0"/>
              </w:rPr>
              <w:t xml:space="preserve">: confirms perfect market synchronisation at title level (e.g. Shingeki no Kyojin: 11.6% Italy vs 11.5% global).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5F">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Genre Evolution Stacked Area Chart (streaming tipping point 2013)</w:t>
            </w:r>
            <w:r w:rsidDel="00000000" w:rsidR="00000000" w:rsidRPr="00000000">
              <w:rPr>
                <w:rFonts w:ascii="Arial" w:cs="Arial" w:eastAsia="Arial" w:hAnsi="Arial"/>
                <w:sz w:val="20"/>
                <w:szCs w:val="20"/>
                <w:rtl w:val="0"/>
              </w:rPr>
              <w:t xml:space="preserve">: visualises the explosive post-2013 growth and the algorithmic dominance of Action and Fantasy.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60">
            <w:pPr>
              <w:spacing w:after="30" w:before="3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b w:val="1"/>
                <w:bCs w:val="1"/>
                <w:sz w:val="20"/>
                <w:szCs w:val="20"/>
                <w:rtl w:val="0"/>
              </w:rPr>
              <w:t xml:space="preserve">Pre- vs. Post-Streaming Production Shift Grouped Bar</w:t>
            </w:r>
            <w:r w:rsidDel="00000000" w:rsidR="00000000" w:rsidRPr="00000000">
              <w:rPr>
                <w:rFonts w:ascii="Arial" w:cs="Arial" w:eastAsia="Arial" w:hAnsi="Arial"/>
                <w:sz w:val="20"/>
                <w:szCs w:val="20"/>
                <w:rtl w:val="0"/>
              </w:rPr>
              <w:t xml:space="preserve">: counterintuitively shows a 10% rise in Original Works post-2013, driven by streaming giants acquiring full IP ownership.</w:t>
            </w:r>
            <w:r w:rsidDel="00000000" w:rsidR="00000000" w:rsidRPr="00000000">
              <w:rPr>
                <w:rtl w:val="0"/>
              </w:rPr>
            </w:r>
          </w:p>
        </w:tc>
      </w:tr>
    </w:tbl>
    <w:p w:rsidR="00000000" w:rsidDel="00000000" w:rsidP="00000000" w:rsidRDefault="00000000" w:rsidRPr="00000000" w14:paraId="00000061">
      <w:pPr>
        <w:spacing w:after="60" w:before="60" w:lineRule="auto"/>
        <w:jc w:val="both"/>
        <w:rPr/>
      </w:pPr>
      <w:r w:rsidDel="00000000" w:rsidR="00000000" w:rsidRPr="00000000">
        <w:rPr>
          <w:rFonts w:ascii="Arial" w:cs="Arial" w:eastAsia="Arial" w:hAnsi="Arial"/>
          <w:sz w:val="20"/>
          <w:szCs w:val="20"/>
          <w:rtl w:val="0"/>
        </w:rPr>
        <w:t xml:space="preserve">The loadUserRatings() function implements a dictionary-mapping pseudo-join with active garbage collection and category dtype optimisation to process 92 M rows without MemoryError.</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Issues</w:t>
      </w: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dd7ee" w:val="clear"/>
            <w:tcMar>
              <w:top w:w="60.0" w:type="dxa"/>
              <w:left w:w="120.0" w:type="dxa"/>
              <w:bottom w:w="60.0" w:type="dxa"/>
              <w:right w:w="120.0" w:type="dxa"/>
            </w:tcMar>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1"/>
                <w:bCs w:val="1"/>
                <w:color w:val="1f4e79"/>
                <w:sz w:val="20"/>
                <w:szCs w:val="20"/>
                <w:rtl w:val="0"/>
              </w:rPr>
              <w:t xml:space="preserve">Challenges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Merging ratings (124 M rows) with profiles on username required replacing pd.merge() with a lightweight map() on a pre-built dictionary, with explicit gc.collect() calls.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The location column contains free-text user input (e.g. 'Rome, Italy', 'IT', 'italia') requiring heuristic normalisation before country-level aggregation.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The platformPortfolioAnalysis() function processes the licensors column, which stores arrays per row; vectorised explode() was used to avoid row-by-row iteration.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60.0" w:type="dxa"/>
              <w:left w:w="120.0" w:type="dxa"/>
              <w:bottom w:w="60.0" w:type="dxa"/>
              <w:right w:w="120.0" w:type="dxa"/>
            </w:tcMar>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color w:val="2e75b6"/>
                <w:sz w:val="20"/>
                <w:szCs w:val="20"/>
                <w:rtl w:val="0"/>
              </w:rPr>
              <w:t xml:space="preserve">• </w:t>
            </w:r>
            <w:r w:rsidDel="00000000" w:rsidR="00000000" w:rsidRPr="00000000">
              <w:rPr>
                <w:rFonts w:ascii="Arial" w:cs="Arial" w:eastAsia="Arial" w:hAnsi="Arial"/>
                <w:sz w:val="20"/>
                <w:szCs w:val="20"/>
                <w:rtl w:val="0"/>
              </w:rPr>
              <w:t xml:space="preserve">The 2020 dip in the temporal chart is a data recency artifact; it is explicitly documented to avoid misinterpretation by journalists.</w:t>
            </w:r>
            <w:r w:rsidDel="00000000" w:rsidR="00000000" w:rsidRPr="00000000">
              <w:rPr>
                <w:rtl w:val="0"/>
              </w:rPr>
            </w:r>
          </w:p>
        </w:tc>
      </w:tr>
    </w:tbl>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Requirements</w:t>
      </w:r>
      <w:r w:rsidDel="00000000" w:rsidR="00000000" w:rsidRPr="00000000">
        <w:rPr>
          <w:rtl w:val="0"/>
        </w:rPr>
      </w:r>
    </w:p>
    <w:p w:rsidR="00000000" w:rsidDel="00000000" w:rsidP="00000000" w:rsidRDefault="00000000" w:rsidRPr="00000000" w14:paraId="0000006B">
      <w:pPr>
        <w:spacing w:after="60" w:before="60" w:lineRule="auto"/>
        <w:jc w:val="both"/>
        <w:rPr/>
      </w:pPr>
      <w:r w:rsidDel="00000000" w:rsidR="00000000" w:rsidRPr="00000000">
        <w:rPr>
          <w:rFonts w:ascii="Arial" w:cs="Arial" w:eastAsia="Arial" w:hAnsi="Arial"/>
          <w:sz w:val="20"/>
          <w:szCs w:val="20"/>
          <w:rtl w:val="0"/>
        </w:rPr>
        <w:t xml:space="preserve">The notebook fulfils the requirement to support journalistic analysis of geographic consumption patterns. All charts are interactive (Plotly) or publication-quality (Matplotlib/Seaborn). The Italian market is specifically highlighted throughout, providing local context. Statistical robustness filters (minimum 10,000 ratings per country for the average score map) are applied consistently.</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pStyle w:val="Heading3"/>
        <w:spacing w:after="60" w:before="120" w:lineRule="auto"/>
        <w:rPr/>
      </w:pPr>
      <w:r w:rsidDel="00000000" w:rsidR="00000000" w:rsidRPr="00000000">
        <w:rPr>
          <w:rFonts w:ascii="Arial" w:cs="Arial" w:eastAsia="Arial" w:hAnsi="Arial"/>
          <w:b w:val="1"/>
          <w:bCs w:val="1"/>
          <w:color w:val="1a1a2e"/>
          <w:sz w:val="22"/>
          <w:szCs w:val="22"/>
          <w:rtl w:val="0"/>
        </w:rPr>
        <w:t xml:space="preserve">Limitations</w:t>
      </w:r>
      <w:r w:rsidDel="00000000" w:rsidR="00000000" w:rsidRPr="00000000">
        <w:rPr>
          <w:rtl w:val="0"/>
        </w:rPr>
      </w:r>
    </w:p>
    <w:p w:rsidR="00000000" w:rsidDel="00000000" w:rsidP="00000000" w:rsidRDefault="00000000" w:rsidRPr="00000000" w14:paraId="0000006E">
      <w:pPr>
        <w:spacing w:after="60" w:before="60" w:lineRule="auto"/>
        <w:jc w:val="both"/>
        <w:rPr/>
      </w:pPr>
      <w:r w:rsidDel="00000000" w:rsidR="00000000" w:rsidRPr="00000000">
        <w:rPr>
          <w:rFonts w:ascii="Arial" w:cs="Arial" w:eastAsia="Arial" w:hAnsi="Arial"/>
          <w:sz w:val="20"/>
          <w:szCs w:val="20"/>
          <w:rtl w:val="0"/>
        </w:rPr>
        <w:t xml:space="preserve">The location data is self-reported and not validated: users can enter any string, and many records are marked 'Unknown'. The 2020 drop is a data truncation artifact, not a real market signal. The platform portfolio analysis is limited to the four major Western licensors; smaller distributors are excluded. The streaming tipping point year (2013) is defined heuristically based on historical context rather than a statistical breakpoint test.</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Conclusions</w:t>
      </w:r>
      <w:r w:rsidDel="00000000" w:rsidR="00000000" w:rsidRPr="00000000">
        <w:rPr>
          <w:rtl w:val="0"/>
        </w:rPr>
      </w:r>
    </w:p>
    <w:p w:rsidR="00000000" w:rsidDel="00000000" w:rsidP="00000000" w:rsidRDefault="00000000" w:rsidRPr="00000000" w14:paraId="00000071">
      <w:pPr>
        <w:spacing w:after="60" w:before="60" w:lineRule="auto"/>
        <w:jc w:val="both"/>
        <w:rPr/>
      </w:pPr>
      <w:r w:rsidDel="00000000" w:rsidR="00000000" w:rsidRPr="00000000">
        <w:rPr>
          <w:rFonts w:ascii="Arial" w:cs="Arial" w:eastAsia="Arial" w:hAnsi="Arial"/>
          <w:sz w:val="20"/>
          <w:szCs w:val="20"/>
          <w:rtl w:val="0"/>
        </w:rPr>
        <w:t xml:space="preserve">This project demonstrated that large-scale anime data</w:t>
      </w:r>
      <w:r w:rsidDel="00000000" w:rsidR="00000000" w:rsidRPr="00000000">
        <w:rPr>
          <w:rtl w:val="0"/>
        </w:rPr>
        <w:t xml:space="preserve">, </w:t>
      </w:r>
      <w:r w:rsidDel="00000000" w:rsidR="00000000" w:rsidRPr="00000000">
        <w:rPr>
          <w:rFonts w:ascii="Arial" w:cs="Arial" w:eastAsia="Arial" w:hAnsi="Arial"/>
          <w:sz w:val="20"/>
          <w:szCs w:val="20"/>
          <w:rtl w:val="0"/>
        </w:rPr>
        <w:t xml:space="preserve">spanning millions of user interactions, decades of production history, and global geographic coverage</w:t>
      </w:r>
      <w:r w:rsidDel="00000000" w:rsidR="00000000" w:rsidRPr="00000000">
        <w:rPr>
          <w:rtl w:val="0"/>
        </w:rPr>
        <w:t xml:space="preserve">, </w:t>
      </w:r>
      <w:r w:rsidDel="00000000" w:rsidR="00000000" w:rsidRPr="00000000">
        <w:rPr>
          <w:rFonts w:ascii="Arial" w:cs="Arial" w:eastAsia="Arial" w:hAnsi="Arial"/>
          <w:sz w:val="20"/>
          <w:szCs w:val="20"/>
          <w:rtl w:val="0"/>
        </w:rPr>
        <w:t xml:space="preserve">can be effectively transformed into accessible, journalist-ready insights through a well-structured pipeline of data cleaning, historical analysis, popularity mechanics, and geopolitical mapping.</w:t>
      </w:r>
      <w:r w:rsidDel="00000000" w:rsidR="00000000" w:rsidRPr="00000000">
        <w:rPr>
          <w:rtl w:val="0"/>
        </w:rPr>
      </w:r>
    </w:p>
    <w:p w:rsidR="00000000" w:rsidDel="00000000" w:rsidP="00000000" w:rsidRDefault="00000000" w:rsidRPr="00000000" w14:paraId="00000072">
      <w:pPr>
        <w:spacing w:after="60" w:before="60" w:lineRule="auto"/>
        <w:jc w:val="both"/>
        <w:rPr/>
      </w:pPr>
      <w:r w:rsidDel="00000000" w:rsidR="00000000" w:rsidRPr="00000000">
        <w:rPr>
          <w:rFonts w:ascii="Arial" w:cs="Arial" w:eastAsia="Arial" w:hAnsi="Arial"/>
          <w:sz w:val="20"/>
          <w:szCs w:val="20"/>
          <w:rtl w:val="0"/>
        </w:rPr>
        <w:t xml:space="preserve">Several cross-cutting lessons emerged from the development process. First, memory management is a first-class design concern when working with 90+ million rows: vectorisation, dictionary-mapping, category dtypes, and Parquet serialisation were not optional optimisations but architectural requirements. Second, statistical artifacts (January imputation, data truncation in 2020, survivorship bias in sequel ratings) are as informative as the clean signal</w:t>
      </w:r>
      <w:r w:rsidDel="00000000" w:rsidR="00000000" w:rsidRPr="00000000">
        <w:rPr>
          <w:rtl w:val="0"/>
        </w:rPr>
        <w:t xml:space="preserve">, </w:t>
      </w:r>
      <w:r w:rsidDel="00000000" w:rsidR="00000000" w:rsidRPr="00000000">
        <w:rPr>
          <w:rFonts w:ascii="Arial" w:cs="Arial" w:eastAsia="Arial" w:hAnsi="Arial"/>
          <w:sz w:val="20"/>
          <w:szCs w:val="20"/>
          <w:rtl w:val="0"/>
        </w:rPr>
        <w:t xml:space="preserve">documenting them explicitly adds journalistic value rather than hiding analytical limitations. Third, the modularisation of plotting and data-loading functions into utility files (utils.py, utils_historic.py, functionsCountries.py) proved critical for notebook readability and for collaborative development across team members.</w:t>
      </w:r>
      <w:r w:rsidDel="00000000" w:rsidR="00000000" w:rsidRPr="00000000">
        <w:rPr>
          <w:rtl w:val="0"/>
        </w:rPr>
      </w:r>
    </w:p>
    <w:p w:rsidR="00000000" w:rsidDel="00000000" w:rsidP="00000000" w:rsidRDefault="00000000" w:rsidRPr="00000000" w14:paraId="00000073">
      <w:pPr>
        <w:spacing w:after="60" w:before="60" w:lineRule="auto"/>
        <w:jc w:val="both"/>
        <w:rPr/>
      </w:pPr>
      <w:r w:rsidDel="00000000" w:rsidR="00000000" w:rsidRPr="00000000">
        <w:rPr>
          <w:rFonts w:ascii="Arial" w:cs="Arial" w:eastAsia="Arial" w:hAnsi="Arial"/>
          <w:sz w:val="20"/>
          <w:szCs w:val="20"/>
          <w:rtl w:val="0"/>
        </w:rPr>
        <w:t xml:space="preserve">From an analytical standpoint, the most surprising finding was the Monoculture Effect: despite significant cultural and demographic differences, Italy and the USA share an almost identical anime consumption fingerprint, and the same convergence appears across most mature Western markets. This suggests that streaming platform algorithms are actively homogenising global taste around a small set of universally accessible genres and franchises.</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Division of Work</w:t>
      </w:r>
      <w:r w:rsidDel="00000000" w:rsidR="00000000" w:rsidRPr="00000000">
        <w:rPr>
          <w:rtl w:val="0"/>
        </w:rPr>
      </w:r>
    </w:p>
    <w:p w:rsidR="00000000" w:rsidDel="00000000" w:rsidP="00000000" w:rsidRDefault="00000000" w:rsidRPr="00000000" w14:paraId="00000076">
      <w:pPr>
        <w:spacing w:after="60" w:before="60" w:lineRule="auto"/>
        <w:jc w:val="both"/>
        <w:rPr/>
      </w:pPr>
      <w:r w:rsidDel="00000000" w:rsidR="00000000" w:rsidRPr="00000000">
        <w:rPr>
          <w:rFonts w:ascii="Arial" w:cs="Arial" w:eastAsia="Arial" w:hAnsi="Arial"/>
          <w:sz w:val="20"/>
          <w:szCs w:val="20"/>
          <w:rtl w:val="0"/>
        </w:rPr>
        <w:t xml:space="preserve">The workload was distributed evenly, with all group members contributing to every phase of the project:</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z w:val="20"/>
                <w:szCs w:val="20"/>
                <w:rtl w:val="0"/>
              </w:rPr>
              <w:t xml:space="preserve">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20"/>
                <w:szCs w:val="20"/>
                <w:rtl w:val="0"/>
              </w:rPr>
              <w:t xml:space="preserve">Primary Contributions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Member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d</w:t>
            </w:r>
            <w:r w:rsidDel="00000000" w:rsidR="00000000" w:rsidRPr="00000000">
              <w:rPr>
                <w:rFonts w:ascii="Arial" w:cs="Arial" w:eastAsia="Arial" w:hAnsi="Arial"/>
                <w:sz w:val="20"/>
                <w:szCs w:val="20"/>
                <w:rtl w:val="0"/>
              </w:rPr>
              <w:t xml:space="preserve">ata cleaning </w:t>
            </w:r>
            <w:r w:rsidDel="00000000" w:rsidR="00000000" w:rsidRPr="00000000">
              <w:rPr>
                <w:rtl w:val="0"/>
              </w:rPr>
              <w:t xml:space="preserve">of some datasets</w:t>
            </w:r>
            <w:r w:rsidDel="00000000" w:rsidR="00000000" w:rsidRPr="00000000">
              <w:rPr>
                <w:rFonts w:ascii="Arial" w:cs="Arial" w:eastAsia="Arial" w:hAnsi="Arial"/>
                <w:sz w:val="20"/>
                <w:szCs w:val="20"/>
                <w:rtl w:val="0"/>
              </w:rPr>
              <w:t xml:space="preserve">, organiz</w:t>
            </w:r>
            <w:r w:rsidDel="00000000" w:rsidR="00000000" w:rsidRPr="00000000">
              <w:rPr>
                <w:rtl w:val="0"/>
              </w:rPr>
              <w:t xml:space="preserve">ing analysis ideas, </w:t>
            </w:r>
            <w:r w:rsidDel="00000000" w:rsidR="00000000" w:rsidRPr="00000000">
              <w:rPr>
                <w:rFonts w:ascii="Arial" w:cs="Arial" w:eastAsia="Arial" w:hAnsi="Arial"/>
                <w:sz w:val="20"/>
                <w:szCs w:val="20"/>
                <w:rtl w:val="0"/>
              </w:rPr>
              <w:t xml:space="preserve">utils.py module, anime_popularity.ipynb (Studio analysis, Voice Actor Star Power, Character Popularity sections)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Member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data cleaning of some datasets, countries_and_anime.ipynb (all sections), functionsCountries.py module, Parquet optimisation strategy, report writing</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Member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data cleaning of some datasets, grouping analysis ideas, history_and_anime.ipynb (all sections), utils_historic.py module, (historic roots, macro-temporal analysis,...)</w:t>
            </w:r>
          </w:p>
        </w:tc>
      </w:tr>
    </w:tbl>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60" w:before="60" w:lineRule="auto"/>
        <w:jc w:val="both"/>
        <w:rPr/>
      </w:pPr>
      <w:r w:rsidDel="00000000" w:rsidR="00000000" w:rsidRPr="00000000">
        <w:rPr>
          <w:rFonts w:ascii="Arial" w:cs="Arial" w:eastAsia="Arial" w:hAnsi="Arial"/>
          <w:sz w:val="20"/>
          <w:szCs w:val="20"/>
          <w:rtl w:val="0"/>
        </w:rPr>
        <w:t xml:space="preserve">Regular peer review sessions were held to discuss analytical choices and ensure cross-notebook consistency. All members committed code personally to the shared repository following the guidelines.</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Extra Information</w:t>
      </w:r>
      <w:r w:rsidDel="00000000" w:rsidR="00000000" w:rsidRPr="00000000">
        <w:rPr>
          <w:rtl w:val="0"/>
        </w:rPr>
      </w:r>
    </w:p>
    <w:p w:rsidR="00000000" w:rsidDel="00000000" w:rsidP="00000000" w:rsidRDefault="00000000" w:rsidRPr="00000000" w14:paraId="00000083">
      <w:pPr>
        <w:spacing w:after="60" w:before="60" w:lineRule="auto"/>
        <w:jc w:val="both"/>
        <w:rPr/>
      </w:pPr>
      <w:r w:rsidDel="00000000" w:rsidR="00000000" w:rsidRPr="00000000">
        <w:rPr>
          <w:rFonts w:ascii="Arial" w:cs="Arial" w:eastAsia="Arial" w:hAnsi="Arial"/>
          <w:sz w:val="20"/>
          <w:szCs w:val="20"/>
          <w:rtl w:val="0"/>
        </w:rPr>
        <w:t xml:space="preserve">No additional software installation is required beyond the standard Python scientific stack. All dependencies are managed via pip and listed in requirements.txt at the repository root. To run the full pipeline:</w:t>
      </w: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60.0" w:type="dxa"/>
              <w:left w:w="120.0" w:type="dxa"/>
              <w:bottom w:w="60.0" w:type="dxa"/>
              <w:right w:w="120.0" w:type="dxa"/>
            </w:tcMar>
          </w:tcPr>
          <w:p w:rsidR="00000000" w:rsidDel="00000000" w:rsidP="00000000" w:rsidRDefault="00000000" w:rsidRPr="00000000" w14:paraId="00000084">
            <w:pPr>
              <w:spacing w:after="30" w:before="30" w:lineRule="auto"/>
              <w:rPr/>
            </w:pPr>
            <w:r w:rsidDel="00000000" w:rsidR="00000000" w:rsidRPr="00000000">
              <w:rPr>
                <w:rFonts w:ascii="Arial" w:cs="Arial" w:eastAsia="Arial" w:hAnsi="Arial"/>
                <w:b w:val="1"/>
                <w:bCs w:val="1"/>
                <w:color w:val="ffffff"/>
                <w:sz w:val="20"/>
                <w:szCs w:val="20"/>
                <w:rtl w:val="0"/>
              </w:rPr>
              <w:t xml:space="preserve">Running Instructions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85">
            <w:pPr>
              <w:spacing w:after="30" w:before="30" w:lineRule="auto"/>
              <w:rPr/>
            </w:pPr>
            <w:r w:rsidDel="00000000" w:rsidR="00000000" w:rsidRPr="00000000">
              <w:rPr>
                <w:rFonts w:ascii="Arial" w:cs="Arial" w:eastAsia="Arial" w:hAnsi="Arial"/>
                <w:color w:val="2e7d32"/>
                <w:sz w:val="20"/>
                <w:szCs w:val="20"/>
                <w:rtl w:val="0"/>
              </w:rPr>
              <w:t xml:space="preserve">▸ </w:t>
            </w:r>
            <w:r w:rsidDel="00000000" w:rsidR="00000000" w:rsidRPr="00000000">
              <w:rPr>
                <w:rFonts w:ascii="Arial" w:cs="Arial" w:eastAsia="Arial" w:hAnsi="Arial"/>
                <w:sz w:val="20"/>
                <w:szCs w:val="20"/>
                <w:rtl w:val="0"/>
              </w:rPr>
              <w:t xml:space="preserve">Step 1 — Place all raw CSV files in the /data/ directory.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86">
            <w:pPr>
              <w:spacing w:after="30" w:before="30" w:lineRule="auto"/>
              <w:rPr/>
            </w:pPr>
            <w:r w:rsidDel="00000000" w:rsidR="00000000" w:rsidRPr="00000000">
              <w:rPr>
                <w:rFonts w:ascii="Arial" w:cs="Arial" w:eastAsia="Arial" w:hAnsi="Arial"/>
                <w:color w:val="2e7d32"/>
                <w:sz w:val="20"/>
                <w:szCs w:val="20"/>
                <w:rtl w:val="0"/>
              </w:rPr>
              <w:t xml:space="preserve">▸ </w:t>
            </w:r>
            <w:r w:rsidDel="00000000" w:rsidR="00000000" w:rsidRPr="00000000">
              <w:rPr>
                <w:rFonts w:ascii="Arial" w:cs="Arial" w:eastAsia="Arial" w:hAnsi="Arial"/>
                <w:sz w:val="20"/>
                <w:szCs w:val="20"/>
                <w:rtl w:val="0"/>
              </w:rPr>
              <w:t xml:space="preserve">Step 2 — Run data_cleaning.ipynb in full. This generates the required *_clean.parquet files.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87">
            <w:pPr>
              <w:spacing w:after="30" w:before="30" w:lineRule="auto"/>
              <w:rPr/>
            </w:pPr>
            <w:r w:rsidDel="00000000" w:rsidR="00000000" w:rsidRPr="00000000">
              <w:rPr>
                <w:rFonts w:ascii="Arial" w:cs="Arial" w:eastAsia="Arial" w:hAnsi="Arial"/>
                <w:color w:val="2e7d32"/>
                <w:sz w:val="20"/>
                <w:szCs w:val="20"/>
                <w:rtl w:val="0"/>
              </w:rPr>
              <w:t xml:space="preserve">▸ </w:t>
            </w:r>
            <w:r w:rsidDel="00000000" w:rsidR="00000000" w:rsidRPr="00000000">
              <w:rPr>
                <w:rFonts w:ascii="Arial" w:cs="Arial" w:eastAsia="Arial" w:hAnsi="Arial"/>
                <w:sz w:val="20"/>
                <w:szCs w:val="20"/>
                <w:rtl w:val="0"/>
              </w:rPr>
              <w:t xml:space="preserve">Step 3 — Run any of the three analysis notebooks in any order: anime_popularity.ipynb, history_and_anime.ipynb, countries_and_anime.ipynb.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88">
            <w:pPr>
              <w:spacing w:after="30" w:before="30" w:lineRule="auto"/>
              <w:rPr/>
            </w:pPr>
            <w:r w:rsidDel="00000000" w:rsidR="00000000" w:rsidRPr="00000000">
              <w:rPr>
                <w:rFonts w:ascii="Arial" w:cs="Arial" w:eastAsia="Arial" w:hAnsi="Arial"/>
                <w:color w:val="2e7d32"/>
                <w:sz w:val="20"/>
                <w:szCs w:val="20"/>
                <w:rtl w:val="0"/>
              </w:rPr>
              <w:t xml:space="preserve">▸ </w:t>
            </w:r>
            <w:r w:rsidDel="00000000" w:rsidR="00000000" w:rsidRPr="00000000">
              <w:rPr>
                <w:rFonts w:ascii="Arial" w:cs="Arial" w:eastAsia="Arial" w:hAnsi="Arial"/>
                <w:sz w:val="20"/>
                <w:szCs w:val="20"/>
                <w:rtl w:val="0"/>
              </w:rPr>
              <w:t xml:space="preserve">The notebooks are self-contained and do not depend on each other beyond the shared /data/ Parquet files.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50.0" w:type="dxa"/>
              <w:left w:w="120.0" w:type="dxa"/>
              <w:bottom w:w="50.0" w:type="dxa"/>
              <w:right w:w="120.0" w:type="dxa"/>
            </w:tcMar>
          </w:tcPr>
          <w:p w:rsidR="00000000" w:rsidDel="00000000" w:rsidP="00000000" w:rsidRDefault="00000000" w:rsidRPr="00000000" w14:paraId="00000089">
            <w:pPr>
              <w:spacing w:after="30" w:before="30" w:lineRule="auto"/>
              <w:rPr/>
            </w:pPr>
            <w:r w:rsidDel="00000000" w:rsidR="00000000" w:rsidRPr="00000000">
              <w:rPr>
                <w:rFonts w:ascii="Arial" w:cs="Arial" w:eastAsia="Arial" w:hAnsi="Arial"/>
                <w:color w:val="2e7d32"/>
                <w:sz w:val="20"/>
                <w:szCs w:val="20"/>
                <w:rtl w:val="0"/>
              </w:rPr>
              <w:t xml:space="preserve">▸ </w:t>
            </w:r>
            <w:r w:rsidDel="00000000" w:rsidR="00000000" w:rsidRPr="00000000">
              <w:rPr>
                <w:rFonts w:ascii="Arial" w:cs="Arial" w:eastAsia="Arial" w:hAnsi="Arial"/>
                <w:sz w:val="20"/>
                <w:szCs w:val="20"/>
                <w:rtl w:val="0"/>
              </w:rPr>
              <w:t xml:space="preserve">Required libraries: pandas, numpy, matplotlib, seaborn, plotly, pyarrow. All installable via: pip install -r requirements.txt</w:t>
            </w:r>
            <w:r w:rsidDel="00000000" w:rsidR="00000000" w:rsidRPr="00000000">
              <w:rPr>
                <w:rtl w:val="0"/>
              </w:rPr>
            </w:r>
          </w:p>
        </w:tc>
      </w:tr>
    </w:tbl>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pStyle w:val="Heading1"/>
        <w:pBdr>
          <w:bottom w:color="2e75b6" w:space="1" w:sz="6" w:val="single"/>
        </w:pBdr>
        <w:spacing w:after="100" w:before="200" w:lineRule="auto"/>
        <w:rPr/>
      </w:pPr>
      <w:r w:rsidDel="00000000" w:rsidR="00000000" w:rsidRPr="00000000">
        <w:rPr>
          <w:rFonts w:ascii="Arial" w:cs="Arial" w:eastAsia="Arial" w:hAnsi="Arial"/>
          <w:b w:val="1"/>
          <w:bCs w:val="1"/>
          <w:color w:val="1f4e79"/>
          <w:sz w:val="28"/>
          <w:szCs w:val="28"/>
          <w:rtl w:val="0"/>
        </w:rPr>
        <w:t xml:space="preserve">Bibliography</w:t>
      </w:r>
      <w:r w:rsidDel="00000000" w:rsidR="00000000" w:rsidRPr="00000000">
        <w:rPr>
          <w:rtl w:val="0"/>
        </w:rPr>
      </w:r>
    </w:p>
    <w:p w:rsidR="00000000" w:rsidDel="00000000" w:rsidP="00000000" w:rsidRDefault="00000000" w:rsidRPr="00000000" w14:paraId="0000008C">
      <w:pPr>
        <w:spacing w:after="60" w:before="60" w:lineRule="auto"/>
        <w:jc w:val="both"/>
        <w:rPr/>
      </w:pPr>
      <w:r w:rsidDel="00000000" w:rsidR="00000000" w:rsidRPr="00000000">
        <w:rPr>
          <w:rFonts w:ascii="Arial" w:cs="Arial" w:eastAsia="Arial" w:hAnsi="Arial"/>
          <w:sz w:val="20"/>
          <w:szCs w:val="20"/>
          <w:rtl w:val="0"/>
        </w:rPr>
        <w:t xml:space="preserve">No external third-party code was used. The following references informed the analytical interpretations: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MyAnimeList (MAL) — source dataset and community platform. https://myanimelist.net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McKinney, W. (2022). Python for Data Analysis, 3rd Edition. O'Reilly Media. — pandas best practices for large-scale data.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Plotly Technologies Inc. (2015). Collaborative data science. Plotly. https://plotly.com — interactive visualisation framework.</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Galvez, R., Bhatt, S. (2019). Visualizing anime trends with MAL data. Towards Data Science. — contextual reference for MAL dataset structure.</w:t>
      </w: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VS2VB1qrwBaYFcYbYgd4x/T9w==">CgMxLjA4AHIhMTBraS1xMjNNRWFmSDlNZF8tNjliVmIyYWVva0JVZmhp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