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F5597"/>
          <w:sz w:val="36"/>
          <w:szCs w:val="36"/>
        </w:rPr>
        <w:t xml:space="preserve">Employee Lifecycle Management (Hire to Retire)</w:t>
      </w:r>
    </w:p>
    <w:p>
      <w:pPr>
        <w:spacing w:after="40"/>
      </w:pPr>
      <w:r>
        <w:rPr>
          <w:rFonts w:ascii="Arial" w:cs="Arial" w:eastAsia="Arial" w:hAnsi="Arial"/>
          <w:b/>
          <w:bCs/>
          <w:sz w:val="22"/>
          <w:szCs w:val="22"/>
        </w:rPr>
        <w:t xml:space="preserve">Process ID: HR-TAL-002</w:t>
      </w:r>
    </w:p>
    <w:p>
      <w:pPr>
        <w:spacing w:after="40"/>
      </w:pPr>
      <w:r>
        <w:rPr>
          <w:rFonts w:ascii="Arial" w:cs="Arial" w:eastAsia="Arial" w:hAnsi="Arial"/>
          <w:sz w:val="20"/>
          <w:szCs w:val="20"/>
        </w:rPr>
        <w:t xml:space="preserve">Function: Human Resources — Talent (O2V Element)</w:t>
      </w:r>
    </w:p>
    <w:p>
      <w:pPr>
        <w:spacing w:after="40"/>
      </w:pPr>
      <w:r>
        <w:rPr>
          <w:rFonts w:ascii="Arial" w:cs="Arial" w:eastAsia="Arial" w:hAnsi="Arial"/>
          <w:i/>
          <w:iCs/>
          <w:color w:val="555555"/>
          <w:sz w:val="18"/>
          <w:szCs w:val="18"/>
        </w:rPr>
        <w:t xml:space="preserve">Version 1.0 | Effective Date: 01-Apr-2026 | Owner: HR Shared Services Lead</w:t>
      </w:r>
    </w:p>
    <w:p>
      <w:pPr>
        <w:spacing w:after="200"/>
      </w:pPr>
      <w:r>
        <w:rPr>
          <w:rFonts w:ascii="Arial" w:cs="Arial" w:eastAsia="Arial" w:hAnsi="Arial"/>
          <w:b/>
          <w:bCs/>
          <w:i/>
          <w:iCs/>
          <w:color w:val="C00000"/>
          <w:sz w:val="18"/>
          <w:szCs w:val="18"/>
        </w:rPr>
        <w:t xml:space="preserve">Classification: Internal - Synthetic Test Data</w:t>
      </w:r>
    </w:p>
    <w:p>
      <w:pPr>
        <w:pBdr>
          <w:bottom w:val="single" w:color="2F5597" w:sz="6" w:space="4"/>
        </w:pBdr>
        <w:spacing w:after="200"/>
      </w:pPr>
      <w:r>
        <w:rPr>
          <w:rFonts w:ascii="Arial" w:cs="Arial" w:eastAsia="Arial" w:hAnsi="Arial"/>
        </w:rPr>
        <w:t xml:space="preserve"/>
      </w:r>
    </w:p>
    <w:p>
      <w:pPr>
        <w:pStyle w:val="Heading1"/>
        <w:spacing w:after="150" w:before="300"/>
      </w:pPr>
      <w:r>
        <w:rPr>
          <w:rFonts w:ascii="Arial" w:cs="Arial" w:eastAsia="Arial" w:hAnsi="Arial"/>
          <w:b/>
          <w:bCs/>
          <w:color w:val="2F5597"/>
          <w:sz w:val="26"/>
          <w:szCs w:val="26"/>
        </w:rPr>
        <w:t xml:space="preserve">1. Purpose</w:t>
      </w:r>
    </w:p>
    <w:p>
      <w:pPr>
        <w:spacing w:after="160"/>
      </w:pPr>
      <w:r>
        <w:rPr>
          <w:rFonts w:ascii="Arial" w:cs="Arial" w:eastAsia="Arial" w:hAnsi="Arial"/>
          <w:sz w:val="21"/>
          <w:szCs w:val="21"/>
        </w:rPr>
        <w:t xml:space="preserve">This process defines the end-to-end lifecycle of an HUL employee from requisition through onboarding, performance management, and exit — for both Management Staff and Workman categories — ensuring every stage is captured consistently in SAP SuccessFactors so the resulting employee data (as reflected in the Talent element dataset) is accurate, current, and auditable.</w:t>
      </w:r>
    </w:p>
    <w:p>
      <w:pPr>
        <w:pStyle w:val="Heading1"/>
        <w:spacing w:after="150" w:before="300"/>
      </w:pPr>
      <w:r>
        <w:rPr>
          <w:rFonts w:ascii="Arial" w:cs="Arial" w:eastAsia="Arial" w:hAnsi="Arial"/>
          <w:b/>
          <w:bCs/>
          <w:color w:val="2F5597"/>
          <w:sz w:val="26"/>
          <w:szCs w:val="26"/>
        </w:rPr>
        <w:t xml:space="preserve">2. Scope and Trigger</w:t>
      </w:r>
    </w:p>
    <w:p>
      <w:pPr>
        <w:spacing w:after="160"/>
      </w:pPr>
      <w:r>
        <w:rPr>
          <w:rFonts w:ascii="Arial" w:cs="Arial" w:eastAsia="Arial" w:hAnsi="Arial"/>
          <w:sz w:val="21"/>
          <w:szCs w:val="21"/>
        </w:rPr>
        <w:t xml:space="preserve">In scope: requisition-to-hire, onboarding, performance review cycles, internal movement/promotion, and exit (resignation, retirement, termination) for all employee categories across all locations. Out of scope: the annual headcount budget itself (covered under HR-TAL-001). Trigger: an approved open position (from HR-TAL-001) being released for hiring, or an existing employee's status change (promotion, transfer, exit).</w:t>
      </w:r>
    </w:p>
    <w:p>
      <w:pPr>
        <w:pStyle w:val="Heading1"/>
        <w:spacing w:after="150" w:before="300"/>
      </w:pPr>
      <w:r>
        <w:rPr>
          <w:rFonts w:ascii="Arial" w:cs="Arial" w:eastAsia="Arial" w:hAnsi="Arial"/>
          <w:b/>
          <w:bCs/>
          <w:color w:val="2F5597"/>
          <w:sz w:val="26"/>
          <w:szCs w:val="26"/>
        </w:rPr>
        <w:t xml:space="preserve">3. Inputs and Systems</w:t>
      </w:r>
    </w:p>
    <w:p>
      <w:pPr>
        <w:spacing w:after="100"/>
      </w:pPr>
      <w:r>
        <w:rPr>
          <w:rFonts w:ascii="Arial" w:cs="Arial" w:eastAsia="Arial" w:hAnsi="Arial"/>
          <w:b/>
          <w:bCs/>
          <w:sz w:val="21"/>
          <w:szCs w:val="21"/>
        </w:rPr>
        <w:t xml:space="preserve">Inputs / Source 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2F5597" w:color="auto" w:val="clear"/>
          </w:tcPr>
          <w:p>
            <w:r>
              <w:rPr>
                <w:rFonts w:ascii="Arial" w:cs="Arial" w:eastAsia="Arial" w:hAnsi="Arial"/>
                <w:b/>
                <w:bCs/>
                <w:color w:val="FFFFFF"/>
                <w:sz w:val="19"/>
                <w:szCs w:val="19"/>
              </w:rPr>
              <w:t xml:space="preserve">Input</w:t>
            </w:r>
          </w:p>
        </w:tc>
        <w:tc>
          <w:tcPr>
            <w:tcW w:type="dxa" w:w="6300"/>
            <w:shd w:fill="2F5597" w:color="auto" w:val="clear"/>
          </w:tcPr>
          <w:p>
            <w:r>
              <w:rPr>
                <w:rFonts w:ascii="Arial" w:cs="Arial" w:eastAsia="Arial" w:hAnsi="Arial"/>
                <w:b/>
                <w:bCs/>
                <w:color w:val="FFFFFF"/>
                <w:sz w:val="19"/>
                <w:szCs w:val="19"/>
              </w:rPr>
              <w:t xml:space="preserve">Description</w:t>
            </w:r>
          </w:p>
        </w:tc>
      </w:tr>
      <w:tr>
        <w:tc>
          <w:tcPr>
            <w:tcW w:type="dxa" w:w="3200"/>
          </w:tcPr>
          <w:p>
            <w:r>
              <w:rPr>
                <w:rFonts w:ascii="Arial" w:cs="Arial" w:eastAsia="Arial" w:hAnsi="Arial"/>
                <w:sz w:val="19"/>
                <w:szCs w:val="19"/>
              </w:rPr>
              <w:t xml:space="preserve">Approved open position</w:t>
            </w:r>
          </w:p>
        </w:tc>
        <w:tc>
          <w:tcPr>
            <w:tcW w:type="dxa" w:w="6300"/>
          </w:tcPr>
          <w:p>
            <w:r>
              <w:rPr>
                <w:rFonts w:ascii="Arial" w:cs="Arial" w:eastAsia="Arial" w:hAnsi="Arial"/>
                <w:sz w:val="19"/>
                <w:szCs w:val="19"/>
              </w:rPr>
              <w:t xml:space="preserve">From the approved headcount budget (HR-TAL-001)</w:t>
            </w:r>
          </w:p>
        </w:tc>
      </w:tr>
      <w:tr>
        <w:tc>
          <w:tcPr>
            <w:tcW w:type="dxa" w:w="3200"/>
          </w:tcPr>
          <w:p>
            <w:r>
              <w:rPr>
                <w:rFonts w:ascii="Arial" w:cs="Arial" w:eastAsia="Arial" w:hAnsi="Arial"/>
                <w:sz w:val="19"/>
                <w:szCs w:val="19"/>
              </w:rPr>
              <w:t xml:space="preserve">Candidate application / referral</w:t>
            </w:r>
          </w:p>
        </w:tc>
        <w:tc>
          <w:tcPr>
            <w:tcW w:type="dxa" w:w="6300"/>
          </w:tcPr>
          <w:p>
            <w:r>
              <w:rPr>
                <w:rFonts w:ascii="Arial" w:cs="Arial" w:eastAsia="Arial" w:hAnsi="Arial"/>
                <w:sz w:val="19"/>
                <w:szCs w:val="19"/>
              </w:rPr>
              <w:t xml:space="preserve">Sourced via campus hiring, Project Ahilya frontline sales program, lateral hiring, or workman recruitment drives</w:t>
            </w:r>
          </w:p>
        </w:tc>
      </w:tr>
      <w:tr>
        <w:tc>
          <w:tcPr>
            <w:tcW w:type="dxa" w:w="3200"/>
          </w:tcPr>
          <w:p>
            <w:r>
              <w:rPr>
                <w:rFonts w:ascii="Arial" w:cs="Arial" w:eastAsia="Arial" w:hAnsi="Arial"/>
                <w:sz w:val="19"/>
                <w:szCs w:val="19"/>
              </w:rPr>
              <w:t xml:space="preserve">Manager performance input</w:t>
            </w:r>
          </w:p>
        </w:tc>
        <w:tc>
          <w:tcPr>
            <w:tcW w:type="dxa" w:w="6300"/>
          </w:tcPr>
          <w:p>
            <w:r>
              <w:rPr>
                <w:rFonts w:ascii="Arial" w:cs="Arial" w:eastAsia="Arial" w:hAnsi="Arial"/>
                <w:sz w:val="19"/>
                <w:szCs w:val="19"/>
              </w:rPr>
              <w:t xml:space="preserve">Quarterly/annual rating input from reporting manager</w:t>
            </w:r>
          </w:p>
        </w:tc>
      </w:tr>
      <w:tr>
        <w:tc>
          <w:tcPr>
            <w:tcW w:type="dxa" w:w="3200"/>
          </w:tcPr>
          <w:p>
            <w:r>
              <w:rPr>
                <w:rFonts w:ascii="Arial" w:cs="Arial" w:eastAsia="Arial" w:hAnsi="Arial"/>
                <w:sz w:val="19"/>
                <w:szCs w:val="19"/>
              </w:rPr>
              <w:t xml:space="preserve">Exit trigger</w:t>
            </w:r>
          </w:p>
        </w:tc>
        <w:tc>
          <w:tcPr>
            <w:tcW w:type="dxa" w:w="6300"/>
          </w:tcPr>
          <w:p>
            <w:r>
              <w:rPr>
                <w:rFonts w:ascii="Arial" w:cs="Arial" w:eastAsia="Arial" w:hAnsi="Arial"/>
                <w:sz w:val="19"/>
                <w:szCs w:val="19"/>
              </w:rPr>
              <w:t xml:space="preserve">Resignation letter, retirement date, or termination decision</w:t>
            </w:r>
          </w:p>
        </w:tc>
      </w:tr>
    </w:tbl>
    <w:p>
      <w:pPr>
        <w:spacing w:after="100" w:before="200"/>
      </w:pPr>
      <w:r>
        <w:rPr>
          <w:rFonts w:ascii="Arial" w:cs="Arial" w:eastAsia="Arial" w:hAnsi="Arial"/>
          <w:b/>
          <w:bCs/>
          <w:sz w:val="21"/>
          <w:szCs w:val="21"/>
        </w:rPr>
        <w:t xml:space="preserve">Enterprise Systems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2F5597" w:color="auto" w:val="clear"/>
          </w:tcPr>
          <w:p>
            <w:r>
              <w:rPr>
                <w:rFonts w:ascii="Arial" w:cs="Arial" w:eastAsia="Arial" w:hAnsi="Arial"/>
                <w:b/>
                <w:bCs/>
                <w:color w:val="FFFFFF"/>
                <w:sz w:val="19"/>
                <w:szCs w:val="19"/>
              </w:rPr>
              <w:t xml:space="preserve">System</w:t>
            </w:r>
          </w:p>
        </w:tc>
        <w:tc>
          <w:tcPr>
            <w:tcW w:type="dxa" w:w="6300"/>
            <w:shd w:fill="2F5597" w:color="auto" w:val="clear"/>
          </w:tcPr>
          <w:p>
            <w:r>
              <w:rPr>
                <w:rFonts w:ascii="Arial" w:cs="Arial" w:eastAsia="Arial" w:hAnsi="Arial"/>
                <w:b/>
                <w:bCs/>
                <w:color w:val="FFFFFF"/>
                <w:sz w:val="19"/>
                <w:szCs w:val="19"/>
              </w:rPr>
              <w:t xml:space="preserve">Role in Process</w:t>
            </w:r>
          </w:p>
        </w:tc>
      </w:tr>
      <w:tr>
        <w:tc>
          <w:tcPr>
            <w:tcW w:type="dxa" w:w="3200"/>
          </w:tcPr>
          <w:p>
            <w:r>
              <w:rPr>
                <w:rFonts w:ascii="Arial" w:cs="Arial" w:eastAsia="Arial" w:hAnsi="Arial"/>
                <w:sz w:val="19"/>
                <w:szCs w:val="19"/>
              </w:rPr>
              <w:t xml:space="preserve">SAP SuccessFactors (HRIS)</w:t>
            </w:r>
          </w:p>
        </w:tc>
        <w:tc>
          <w:tcPr>
            <w:tcW w:type="dxa" w:w="6300"/>
          </w:tcPr>
          <w:p>
            <w:r>
              <w:rPr>
                <w:rFonts w:ascii="Arial" w:cs="Arial" w:eastAsia="Arial" w:hAnsi="Arial"/>
                <w:sz w:val="19"/>
                <w:szCs w:val="19"/>
              </w:rPr>
              <w:t xml:space="preserve">System of record for the full employee record, org hierarchy, and lifecycle events</w:t>
            </w:r>
          </w:p>
        </w:tc>
      </w:tr>
      <w:tr>
        <w:tc>
          <w:tcPr>
            <w:tcW w:type="dxa" w:w="3200"/>
          </w:tcPr>
          <w:p>
            <w:r>
              <w:rPr>
                <w:rFonts w:ascii="Arial" w:cs="Arial" w:eastAsia="Arial" w:hAnsi="Arial"/>
                <w:sz w:val="19"/>
                <w:szCs w:val="19"/>
              </w:rPr>
              <w:t xml:space="preserve">Applicant Tracking System (ATS)</w:t>
            </w:r>
          </w:p>
        </w:tc>
        <w:tc>
          <w:tcPr>
            <w:tcW w:type="dxa" w:w="6300"/>
          </w:tcPr>
          <w:p>
            <w:r>
              <w:rPr>
                <w:rFonts w:ascii="Arial" w:cs="Arial" w:eastAsia="Arial" w:hAnsi="Arial"/>
                <w:sz w:val="19"/>
                <w:szCs w:val="19"/>
              </w:rPr>
              <w:t xml:space="preserve">Manages requisition-to-offer workflow</w:t>
            </w:r>
          </w:p>
        </w:tc>
      </w:tr>
      <w:tr>
        <w:tc>
          <w:tcPr>
            <w:tcW w:type="dxa" w:w="3200"/>
          </w:tcPr>
          <w:p>
            <w:r>
              <w:rPr>
                <w:rFonts w:ascii="Arial" w:cs="Arial" w:eastAsia="Arial" w:hAnsi="Arial"/>
                <w:sz w:val="19"/>
                <w:szCs w:val="19"/>
              </w:rPr>
              <w:t xml:space="preserve">Payroll System</w:t>
            </w:r>
          </w:p>
        </w:tc>
        <w:tc>
          <w:tcPr>
            <w:tcW w:type="dxa" w:w="6300"/>
          </w:tcPr>
          <w:p>
            <w:r>
              <w:rPr>
                <w:rFonts w:ascii="Arial" w:cs="Arial" w:eastAsia="Arial" w:hAnsi="Arial"/>
                <w:sz w:val="19"/>
                <w:szCs w:val="19"/>
              </w:rPr>
              <w:t xml:space="preserve">Triggered by onboarding/exit events for salary/full-and-final settlement</w:t>
            </w:r>
          </w:p>
        </w:tc>
      </w:tr>
      <w:tr>
        <w:tc>
          <w:tcPr>
            <w:tcW w:type="dxa" w:w="3200"/>
          </w:tcPr>
          <w:p>
            <w:r>
              <w:rPr>
                <w:rFonts w:ascii="Arial" w:cs="Arial" w:eastAsia="Arial" w:hAnsi="Arial"/>
                <w:sz w:val="19"/>
                <w:szCs w:val="19"/>
              </w:rPr>
              <w:t xml:space="preserve">Learning Management System (LMS)</w:t>
            </w:r>
          </w:p>
        </w:tc>
        <w:tc>
          <w:tcPr>
            <w:tcW w:type="dxa" w:w="6300"/>
          </w:tcPr>
          <w:p>
            <w:r>
              <w:rPr>
                <w:rFonts w:ascii="Arial" w:cs="Arial" w:eastAsia="Arial" w:hAnsi="Arial"/>
                <w:sz w:val="19"/>
                <w:szCs w:val="19"/>
              </w:rPr>
              <w:t xml:space="preserve">Onboarding training and ongoing certification tracking</w:t>
            </w:r>
          </w:p>
        </w:tc>
      </w:tr>
    </w:tbl>
    <w:p>
      <w:pPr>
        <w:pStyle w:val="Heading1"/>
        <w:spacing w:after="150" w:before="300"/>
      </w:pPr>
      <w:r>
        <w:rPr>
          <w:rFonts w:ascii="Arial" w:cs="Arial" w:eastAsia="Arial" w:hAnsi="Arial"/>
          <w:b/>
          <w:bCs/>
          <w:color w:val="2F5597"/>
          <w:sz w:val="26"/>
          <w:szCs w:val="26"/>
        </w:rPr>
        <w:t xml:space="preserve">4. Roles and Responsibilities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2F5597" w:color="auto" w:val="clear"/>
          </w:tcPr>
          <w:p>
            <w:r>
              <w:rPr>
                <w:rFonts w:ascii="Arial" w:cs="Arial" w:eastAsia="Arial" w:hAnsi="Arial"/>
                <w:b/>
                <w:bCs/>
                <w:color w:val="FFFFFF"/>
                <w:sz w:val="19"/>
                <w:szCs w:val="19"/>
              </w:rPr>
              <w:t xml:space="preserve">Role</w:t>
            </w:r>
          </w:p>
        </w:tc>
        <w:tc>
          <w:tcPr>
            <w:tcW w:type="dxa" w:w="6300"/>
            <w:shd w:fill="2F5597" w:color="auto" w:val="clear"/>
          </w:tcPr>
          <w:p>
            <w:r>
              <w:rPr>
                <w:rFonts w:ascii="Arial" w:cs="Arial" w:eastAsia="Arial" w:hAnsi="Arial"/>
                <w:b/>
                <w:bCs/>
                <w:color w:val="FFFFFF"/>
                <w:sz w:val="19"/>
                <w:szCs w:val="19"/>
              </w:rPr>
              <w:t xml:space="preserve">Responsibility</w:t>
            </w:r>
          </w:p>
        </w:tc>
      </w:tr>
      <w:tr>
        <w:tc>
          <w:tcPr>
            <w:tcW w:type="dxa" w:w="3200"/>
          </w:tcPr>
          <w:p>
            <w:r>
              <w:rPr>
                <w:rFonts w:ascii="Arial" w:cs="Arial" w:eastAsia="Arial" w:hAnsi="Arial"/>
                <w:sz w:val="19"/>
                <w:szCs w:val="19"/>
              </w:rPr>
              <w:t xml:space="preserve">Talent Acquisition Partner</w:t>
            </w:r>
          </w:p>
        </w:tc>
        <w:tc>
          <w:tcPr>
            <w:tcW w:type="dxa" w:w="6300"/>
          </w:tcPr>
          <w:p>
            <w:r>
              <w:rPr>
                <w:rFonts w:ascii="Arial" w:cs="Arial" w:eastAsia="Arial" w:hAnsi="Arial"/>
                <w:sz w:val="19"/>
                <w:szCs w:val="19"/>
              </w:rPr>
              <w:t xml:space="preserve">Manages sourcing, screening, and offer process for Management Staff roles</w:t>
            </w:r>
          </w:p>
        </w:tc>
      </w:tr>
      <w:tr>
        <w:tc>
          <w:tcPr>
            <w:tcW w:type="dxa" w:w="3200"/>
          </w:tcPr>
          <w:p>
            <w:r>
              <w:rPr>
                <w:rFonts w:ascii="Arial" w:cs="Arial" w:eastAsia="Arial" w:hAnsi="Arial"/>
                <w:sz w:val="19"/>
                <w:szCs w:val="19"/>
              </w:rPr>
              <w:t xml:space="preserve">Plant HR Manager</w:t>
            </w:r>
          </w:p>
        </w:tc>
        <w:tc>
          <w:tcPr>
            <w:tcW w:type="dxa" w:w="6300"/>
          </w:tcPr>
          <w:p>
            <w:r>
              <w:rPr>
                <w:rFonts w:ascii="Arial" w:cs="Arial" w:eastAsia="Arial" w:hAnsi="Arial"/>
                <w:sz w:val="19"/>
                <w:szCs w:val="19"/>
              </w:rPr>
              <w:t xml:space="preserve">Manages workman recruitment, onboarding, and shopfloor exits at plant level</w:t>
            </w:r>
          </w:p>
        </w:tc>
      </w:tr>
      <w:tr>
        <w:tc>
          <w:tcPr>
            <w:tcW w:type="dxa" w:w="3200"/>
          </w:tcPr>
          <w:p>
            <w:r>
              <w:rPr>
                <w:rFonts w:ascii="Arial" w:cs="Arial" w:eastAsia="Arial" w:hAnsi="Arial"/>
                <w:sz w:val="19"/>
                <w:szCs w:val="19"/>
              </w:rPr>
              <w:t xml:space="preserve">Reporting Manager</w:t>
            </w:r>
          </w:p>
        </w:tc>
        <w:tc>
          <w:tcPr>
            <w:tcW w:type="dxa" w:w="6300"/>
          </w:tcPr>
          <w:p>
            <w:r>
              <w:rPr>
                <w:rFonts w:ascii="Arial" w:cs="Arial" w:eastAsia="Arial" w:hAnsi="Arial"/>
                <w:sz w:val="19"/>
                <w:szCs w:val="19"/>
              </w:rPr>
              <w:t xml:space="preserve">Conducts performance reviews and approves internal movement</w:t>
            </w:r>
          </w:p>
        </w:tc>
      </w:tr>
      <w:tr>
        <w:tc>
          <w:tcPr>
            <w:tcW w:type="dxa" w:w="3200"/>
          </w:tcPr>
          <w:p>
            <w:r>
              <w:rPr>
                <w:rFonts w:ascii="Arial" w:cs="Arial" w:eastAsia="Arial" w:hAnsi="Arial"/>
                <w:sz w:val="19"/>
                <w:szCs w:val="19"/>
              </w:rPr>
              <w:t xml:space="preserve">HR Shared Services Lead</w:t>
            </w:r>
          </w:p>
        </w:tc>
        <w:tc>
          <w:tcPr>
            <w:tcW w:type="dxa" w:w="6300"/>
          </w:tcPr>
          <w:p>
            <w:r>
              <w:rPr>
                <w:rFonts w:ascii="Arial" w:cs="Arial" w:eastAsia="Arial" w:hAnsi="Arial"/>
                <w:sz w:val="19"/>
                <w:szCs w:val="19"/>
              </w:rPr>
              <w:t xml:space="preserve">Owns system data integrity across the full lifecycle</w:t>
            </w:r>
          </w:p>
        </w:tc>
      </w:tr>
      <w:tr>
        <w:tc>
          <w:tcPr>
            <w:tcW w:type="dxa" w:w="3200"/>
          </w:tcPr>
          <w:p>
            <w:r>
              <w:rPr>
                <w:rFonts w:ascii="Arial" w:cs="Arial" w:eastAsia="Arial" w:hAnsi="Arial"/>
                <w:sz w:val="19"/>
                <w:szCs w:val="19"/>
              </w:rPr>
              <w:t xml:space="preserve">Payroll Team</w:t>
            </w:r>
          </w:p>
        </w:tc>
        <w:tc>
          <w:tcPr>
            <w:tcW w:type="dxa" w:w="6300"/>
          </w:tcPr>
          <w:p>
            <w:r>
              <w:rPr>
                <w:rFonts w:ascii="Arial" w:cs="Arial" w:eastAsia="Arial" w:hAnsi="Arial"/>
                <w:sz w:val="19"/>
                <w:szCs w:val="19"/>
              </w:rPr>
              <w:t xml:space="preserve">Processes onboarding pay setup and full-and-final settlement on exit</w:t>
            </w:r>
          </w:p>
        </w:tc>
      </w:tr>
    </w:tbl>
    <w:p>
      <w:pPr>
        <w:pStyle w:val="Heading1"/>
        <w:spacing w:after="150" w:before="300"/>
      </w:pPr>
      <w:r>
        <w:rPr>
          <w:rFonts w:ascii="Arial" w:cs="Arial" w:eastAsia="Arial" w:hAnsi="Arial"/>
          <w:b/>
          <w:bCs/>
          <w:color w:val="2F5597"/>
          <w:sz w:val="26"/>
          <w:szCs w:val="26"/>
        </w:rPr>
        <w:t xml:space="preserve">5. Detailed Process Flow</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400"/>
        <w:gridCol w:w="1200"/>
        <w:gridCol w:w="2800"/>
        <w:gridCol w:w="1600"/>
        <w:gridCol w:w="1300"/>
      </w:tblGrid>
      <w:tr>
        <w:tc>
          <w:tcPr>
            <w:tcW w:type="dxa" w:w="500"/>
            <w:shd w:fill="2F5597" w:color="auto" w:val="clear"/>
          </w:tcPr>
          <w:p>
            <w:r>
              <w:rPr>
                <w:rFonts w:ascii="Arial" w:cs="Arial" w:eastAsia="Arial" w:hAnsi="Arial"/>
                <w:b/>
                <w:bCs/>
                <w:color w:val="FFFFFF"/>
                <w:sz w:val="19"/>
                <w:szCs w:val="19"/>
              </w:rPr>
              <w:t xml:space="preserve">#</w:t>
            </w:r>
          </w:p>
        </w:tc>
        <w:tc>
          <w:tcPr>
            <w:tcW w:type="dxa" w:w="1700"/>
            <w:shd w:fill="2F5597" w:color="auto" w:val="clear"/>
          </w:tcPr>
          <w:p>
            <w:r>
              <w:rPr>
                <w:rFonts w:ascii="Arial" w:cs="Arial" w:eastAsia="Arial" w:hAnsi="Arial"/>
                <w:b/>
                <w:bCs/>
                <w:color w:val="FFFFFF"/>
                <w:sz w:val="19"/>
                <w:szCs w:val="19"/>
              </w:rPr>
              <w:t xml:space="preserve">Activity</w:t>
            </w:r>
          </w:p>
        </w:tc>
        <w:tc>
          <w:tcPr>
            <w:tcW w:type="dxa" w:w="1400"/>
            <w:shd w:fill="2F5597" w:color="auto" w:val="clear"/>
          </w:tcPr>
          <w:p>
            <w:r>
              <w:rPr>
                <w:rFonts w:ascii="Arial" w:cs="Arial" w:eastAsia="Arial" w:hAnsi="Arial"/>
                <w:b/>
                <w:bCs/>
                <w:color w:val="FFFFFF"/>
                <w:sz w:val="19"/>
                <w:szCs w:val="19"/>
              </w:rPr>
              <w:t xml:space="preserve">Responsible</w:t>
            </w:r>
          </w:p>
        </w:tc>
        <w:tc>
          <w:tcPr>
            <w:tcW w:type="dxa" w:w="1200"/>
            <w:shd w:fill="2F5597" w:color="auto" w:val="clear"/>
          </w:tcPr>
          <w:p>
            <w:r>
              <w:rPr>
                <w:rFonts w:ascii="Arial" w:cs="Arial" w:eastAsia="Arial" w:hAnsi="Arial"/>
                <w:b/>
                <w:bCs/>
                <w:color w:val="FFFFFF"/>
                <w:sz w:val="19"/>
                <w:szCs w:val="19"/>
              </w:rPr>
              <w:t xml:space="preserve">Timing</w:t>
            </w:r>
          </w:p>
        </w:tc>
        <w:tc>
          <w:tcPr>
            <w:tcW w:type="dxa" w:w="2800"/>
            <w:shd w:fill="2F5597" w:color="auto" w:val="clear"/>
          </w:tcPr>
          <w:p>
            <w:r>
              <w:rPr>
                <w:rFonts w:ascii="Arial" w:cs="Arial" w:eastAsia="Arial" w:hAnsi="Arial"/>
                <w:b/>
                <w:bCs/>
                <w:color w:val="FFFFFF"/>
                <w:sz w:val="19"/>
                <w:szCs w:val="19"/>
              </w:rPr>
              <w:t xml:space="preserve">Procedure</w:t>
            </w:r>
          </w:p>
        </w:tc>
        <w:tc>
          <w:tcPr>
            <w:tcW w:type="dxa" w:w="1600"/>
            <w:shd w:fill="2F5597" w:color="auto" w:val="clear"/>
          </w:tcPr>
          <w:p>
            <w:r>
              <w:rPr>
                <w:rFonts w:ascii="Arial" w:cs="Arial" w:eastAsia="Arial" w:hAnsi="Arial"/>
                <w:b/>
                <w:bCs/>
                <w:color w:val="FFFFFF"/>
                <w:sz w:val="19"/>
                <w:szCs w:val="19"/>
              </w:rPr>
              <w:t xml:space="preserve">Output</w:t>
            </w:r>
          </w:p>
        </w:tc>
        <w:tc>
          <w:tcPr>
            <w:tcW w:type="dxa" w:w="1300"/>
            <w:shd w:fill="2F5597" w:color="auto" w:val="clear"/>
          </w:tcPr>
          <w:p>
            <w:r>
              <w:rPr>
                <w:rFonts w:ascii="Arial" w:cs="Arial" w:eastAsia="Arial" w:hAnsi="Arial"/>
                <w:b/>
                <w:bCs/>
                <w:color w:val="FFFFFF"/>
                <w:sz w:val="19"/>
                <w:szCs w:val="19"/>
              </w:rPr>
              <w:t xml:space="preserve">Control / SLA</w:t>
            </w:r>
          </w:p>
        </w:tc>
      </w:tr>
      <w:tr>
        <w:tc>
          <w:tcPr>
            <w:tcW w:type="dxa" w:w="500"/>
          </w:tcPr>
          <w:p>
            <w:r>
              <w:rPr>
                <w:rFonts w:ascii="Arial" w:cs="Arial" w:eastAsia="Arial" w:hAnsi="Arial"/>
                <w:sz w:val="19"/>
                <w:szCs w:val="19"/>
              </w:rPr>
              <w:t xml:space="preserve">1</w:t>
            </w:r>
          </w:p>
        </w:tc>
        <w:tc>
          <w:tcPr>
            <w:tcW w:type="dxa" w:w="1700"/>
          </w:tcPr>
          <w:p>
            <w:r>
              <w:rPr>
                <w:rFonts w:ascii="Arial" w:cs="Arial" w:eastAsia="Arial" w:hAnsi="Arial"/>
                <w:sz w:val="19"/>
                <w:szCs w:val="19"/>
              </w:rPr>
              <w:t xml:space="preserve">Release requisition</w:t>
            </w:r>
          </w:p>
        </w:tc>
        <w:tc>
          <w:tcPr>
            <w:tcW w:type="dxa" w:w="1400"/>
          </w:tcPr>
          <w:p>
            <w:r>
              <w:rPr>
                <w:rFonts w:ascii="Arial" w:cs="Arial" w:eastAsia="Arial" w:hAnsi="Arial"/>
                <w:sz w:val="19"/>
                <w:szCs w:val="19"/>
              </w:rPr>
              <w:t xml:space="preserve">Talent Acquisition Partner / Plant HR Manager</w:t>
            </w:r>
          </w:p>
        </w:tc>
        <w:tc>
          <w:tcPr>
            <w:tcW w:type="dxa" w:w="1200"/>
          </w:tcPr>
          <w:p>
            <w:r>
              <w:rPr>
                <w:rFonts w:ascii="Arial" w:cs="Arial" w:eastAsia="Arial" w:hAnsi="Arial"/>
                <w:sz w:val="19"/>
                <w:szCs w:val="19"/>
              </w:rPr>
              <w:t xml:space="preserve">Day 0</w:t>
            </w:r>
          </w:p>
        </w:tc>
        <w:tc>
          <w:tcPr>
            <w:tcW w:type="dxa" w:w="2800"/>
          </w:tcPr>
          <w:p>
            <w:r>
              <w:rPr>
                <w:rFonts w:ascii="Arial" w:cs="Arial" w:eastAsia="Arial" w:hAnsi="Arial"/>
                <w:sz w:val="19"/>
                <w:szCs w:val="19"/>
              </w:rPr>
              <w:t xml:space="preserve">Open the approved position in the ATS with role, band, and location details</w:t>
            </w:r>
          </w:p>
        </w:tc>
        <w:tc>
          <w:tcPr>
            <w:tcW w:type="dxa" w:w="1600"/>
          </w:tcPr>
          <w:p>
            <w:r>
              <w:rPr>
                <w:rFonts w:ascii="Arial" w:cs="Arial" w:eastAsia="Arial" w:hAnsi="Arial"/>
                <w:sz w:val="19"/>
                <w:szCs w:val="19"/>
              </w:rPr>
              <w:t xml:space="preserve">Live requisition</w:t>
            </w:r>
          </w:p>
        </w:tc>
        <w:tc>
          <w:tcPr>
            <w:tcW w:type="dxa" w:w="1300"/>
          </w:tcPr>
          <w:p>
            <w:r>
              <w:rPr>
                <w:rFonts w:ascii="Arial" w:cs="Arial" w:eastAsia="Arial" w:hAnsi="Arial"/>
                <w:sz w:val="19"/>
                <w:szCs w:val="19"/>
              </w:rPr>
              <w:t xml:space="preserve">Requisition must map to an approved HR-TAL-001 position ID</w:t>
            </w:r>
          </w:p>
        </w:tc>
      </w:tr>
      <w:tr>
        <w:tc>
          <w:tcPr>
            <w:tcW w:type="dxa" w:w="500"/>
          </w:tcPr>
          <w:p>
            <w:r>
              <w:rPr>
                <w:rFonts w:ascii="Arial" w:cs="Arial" w:eastAsia="Arial" w:hAnsi="Arial"/>
                <w:sz w:val="19"/>
                <w:szCs w:val="19"/>
              </w:rPr>
              <w:t xml:space="preserve">2</w:t>
            </w:r>
          </w:p>
        </w:tc>
        <w:tc>
          <w:tcPr>
            <w:tcW w:type="dxa" w:w="1700"/>
          </w:tcPr>
          <w:p>
            <w:r>
              <w:rPr>
                <w:rFonts w:ascii="Arial" w:cs="Arial" w:eastAsia="Arial" w:hAnsi="Arial"/>
                <w:sz w:val="19"/>
                <w:szCs w:val="19"/>
              </w:rPr>
              <w:t xml:space="preserve">Source &amp; screen candidates</w:t>
            </w:r>
          </w:p>
        </w:tc>
        <w:tc>
          <w:tcPr>
            <w:tcW w:type="dxa" w:w="1400"/>
          </w:tcPr>
          <w:p>
            <w:r>
              <w:rPr>
                <w:rFonts w:ascii="Arial" w:cs="Arial" w:eastAsia="Arial" w:hAnsi="Arial"/>
                <w:sz w:val="19"/>
                <w:szCs w:val="19"/>
              </w:rPr>
              <w:t xml:space="preserve">Talent Acquisition Partner</w:t>
            </w:r>
          </w:p>
        </w:tc>
        <w:tc>
          <w:tcPr>
            <w:tcW w:type="dxa" w:w="1200"/>
          </w:tcPr>
          <w:p>
            <w:r>
              <w:rPr>
                <w:rFonts w:ascii="Arial" w:cs="Arial" w:eastAsia="Arial" w:hAnsi="Arial"/>
                <w:sz w:val="19"/>
                <w:szCs w:val="19"/>
              </w:rPr>
              <w:t xml:space="preserve">Days 1-15</w:t>
            </w:r>
          </w:p>
        </w:tc>
        <w:tc>
          <w:tcPr>
            <w:tcW w:type="dxa" w:w="2800"/>
          </w:tcPr>
          <w:p>
            <w:r>
              <w:rPr>
                <w:rFonts w:ascii="Arial" w:cs="Arial" w:eastAsia="Arial" w:hAnsi="Arial"/>
                <w:sz w:val="19"/>
                <w:szCs w:val="19"/>
              </w:rPr>
              <w:t xml:space="preserve">Source via campus/lateral/referral channels; screen against role criteria and diversity targets</w:t>
            </w:r>
          </w:p>
        </w:tc>
        <w:tc>
          <w:tcPr>
            <w:tcW w:type="dxa" w:w="1600"/>
          </w:tcPr>
          <w:p>
            <w:r>
              <w:rPr>
                <w:rFonts w:ascii="Arial" w:cs="Arial" w:eastAsia="Arial" w:hAnsi="Arial"/>
                <w:sz w:val="19"/>
                <w:szCs w:val="19"/>
              </w:rPr>
              <w:t xml:space="preserve">Shortlist</w:t>
            </w:r>
          </w:p>
        </w:tc>
        <w:tc>
          <w:tcPr>
            <w:tcW w:type="dxa" w:w="1300"/>
          </w:tcPr>
          <w:p>
            <w:r>
              <w:rPr>
                <w:rFonts w:ascii="Arial" w:cs="Arial" w:eastAsia="Arial" w:hAnsi="Arial"/>
                <w:sz w:val="19"/>
                <w:szCs w:val="19"/>
              </w:rPr>
              <w:t xml:space="preserve">Minimum 1 female candidate in shortlist where role is in a target function</w:t>
            </w:r>
          </w:p>
        </w:tc>
      </w:tr>
      <w:tr>
        <w:tc>
          <w:tcPr>
            <w:tcW w:type="dxa" w:w="500"/>
          </w:tcPr>
          <w:p>
            <w:r>
              <w:rPr>
                <w:rFonts w:ascii="Arial" w:cs="Arial" w:eastAsia="Arial" w:hAnsi="Arial"/>
                <w:sz w:val="19"/>
                <w:szCs w:val="19"/>
              </w:rPr>
              <w:t xml:space="preserve">3</w:t>
            </w:r>
          </w:p>
        </w:tc>
        <w:tc>
          <w:tcPr>
            <w:tcW w:type="dxa" w:w="1700"/>
          </w:tcPr>
          <w:p>
            <w:r>
              <w:rPr>
                <w:rFonts w:ascii="Arial" w:cs="Arial" w:eastAsia="Arial" w:hAnsi="Arial"/>
                <w:sz w:val="19"/>
                <w:szCs w:val="19"/>
              </w:rPr>
              <w:t xml:space="preserve">Interview &amp; offer</w:t>
            </w:r>
          </w:p>
        </w:tc>
        <w:tc>
          <w:tcPr>
            <w:tcW w:type="dxa" w:w="1400"/>
          </w:tcPr>
          <w:p>
            <w:r>
              <w:rPr>
                <w:rFonts w:ascii="Arial" w:cs="Arial" w:eastAsia="Arial" w:hAnsi="Arial"/>
                <w:sz w:val="19"/>
                <w:szCs w:val="19"/>
              </w:rPr>
              <w:t xml:space="preserve">Reporting Manager + TA Partner</w:t>
            </w:r>
          </w:p>
        </w:tc>
        <w:tc>
          <w:tcPr>
            <w:tcW w:type="dxa" w:w="1200"/>
          </w:tcPr>
          <w:p>
            <w:r>
              <w:rPr>
                <w:rFonts w:ascii="Arial" w:cs="Arial" w:eastAsia="Arial" w:hAnsi="Arial"/>
                <w:sz w:val="19"/>
                <w:szCs w:val="19"/>
              </w:rPr>
              <w:t xml:space="preserve">Days 15-25</w:t>
            </w:r>
          </w:p>
        </w:tc>
        <w:tc>
          <w:tcPr>
            <w:tcW w:type="dxa" w:w="2800"/>
          </w:tcPr>
          <w:p>
            <w:r>
              <w:rPr>
                <w:rFonts w:ascii="Arial" w:cs="Arial" w:eastAsia="Arial" w:hAnsi="Arial"/>
                <w:sz w:val="19"/>
                <w:szCs w:val="19"/>
              </w:rPr>
              <w:t xml:space="preserve">Conduct structured interviews; extend offer within approved band/CTC range</w:t>
            </w:r>
          </w:p>
        </w:tc>
        <w:tc>
          <w:tcPr>
            <w:tcW w:type="dxa" w:w="1600"/>
          </w:tcPr>
          <w:p>
            <w:r>
              <w:rPr>
                <w:rFonts w:ascii="Arial" w:cs="Arial" w:eastAsia="Arial" w:hAnsi="Arial"/>
                <w:sz w:val="19"/>
                <w:szCs w:val="19"/>
              </w:rPr>
              <w:t xml:space="preserve">Signed offer letter</w:t>
            </w:r>
          </w:p>
        </w:tc>
        <w:tc>
          <w:tcPr>
            <w:tcW w:type="dxa" w:w="1300"/>
          </w:tcPr>
          <w:p>
            <w:r>
              <w:rPr>
                <w:rFonts w:ascii="Arial" w:cs="Arial" w:eastAsia="Arial" w:hAnsi="Arial"/>
                <w:sz w:val="19"/>
                <w:szCs w:val="19"/>
              </w:rPr>
              <w:t xml:space="preserve">Offer CTC must fall within the approved job-band salary range</w:t>
            </w:r>
          </w:p>
        </w:tc>
      </w:tr>
      <w:tr>
        <w:tc>
          <w:tcPr>
            <w:tcW w:type="dxa" w:w="500"/>
          </w:tcPr>
          <w:p>
            <w:r>
              <w:rPr>
                <w:rFonts w:ascii="Arial" w:cs="Arial" w:eastAsia="Arial" w:hAnsi="Arial"/>
                <w:sz w:val="19"/>
                <w:szCs w:val="19"/>
              </w:rPr>
              <w:t xml:space="preserve">4</w:t>
            </w:r>
          </w:p>
        </w:tc>
        <w:tc>
          <w:tcPr>
            <w:tcW w:type="dxa" w:w="1700"/>
          </w:tcPr>
          <w:p>
            <w:r>
              <w:rPr>
                <w:rFonts w:ascii="Arial" w:cs="Arial" w:eastAsia="Arial" w:hAnsi="Arial"/>
                <w:sz w:val="19"/>
                <w:szCs w:val="19"/>
              </w:rPr>
              <w:t xml:space="preserve">Onboard in HRIS</w:t>
            </w:r>
          </w:p>
        </w:tc>
        <w:tc>
          <w:tcPr>
            <w:tcW w:type="dxa" w:w="1400"/>
          </w:tcPr>
          <w:p>
            <w:r>
              <w:rPr>
                <w:rFonts w:ascii="Arial" w:cs="Arial" w:eastAsia="Arial" w:hAnsi="Arial"/>
                <w:sz w:val="19"/>
                <w:szCs w:val="19"/>
              </w:rPr>
              <w:t xml:space="preserve">HR Shared Services</w:t>
            </w:r>
          </w:p>
        </w:tc>
        <w:tc>
          <w:tcPr>
            <w:tcW w:type="dxa" w:w="1200"/>
          </w:tcPr>
          <w:p>
            <w:r>
              <w:rPr>
                <w:rFonts w:ascii="Arial" w:cs="Arial" w:eastAsia="Arial" w:hAnsi="Arial"/>
                <w:sz w:val="19"/>
                <w:szCs w:val="19"/>
              </w:rPr>
              <w:t xml:space="preserve">Day of joining</w:t>
            </w:r>
          </w:p>
        </w:tc>
        <w:tc>
          <w:tcPr>
            <w:tcW w:type="dxa" w:w="2800"/>
          </w:tcPr>
          <w:p>
            <w:r>
              <w:rPr>
                <w:rFonts w:ascii="Arial" w:cs="Arial" w:eastAsia="Arial" w:hAnsi="Arial"/>
                <w:sz w:val="19"/>
                <w:szCs w:val="19"/>
              </w:rPr>
              <w:t xml:space="preserve">Create employee record in SAP SuccessFactors with employee_id, category, function, location, manager</w:t>
            </w:r>
          </w:p>
        </w:tc>
        <w:tc>
          <w:tcPr>
            <w:tcW w:type="dxa" w:w="1600"/>
          </w:tcPr>
          <w:p>
            <w:r>
              <w:rPr>
                <w:rFonts w:ascii="Arial" w:cs="Arial" w:eastAsia="Arial" w:hAnsi="Arial"/>
                <w:sz w:val="19"/>
                <w:szCs w:val="19"/>
              </w:rPr>
              <w:t xml:space="preserve">Active employee record</w:t>
            </w:r>
          </w:p>
        </w:tc>
        <w:tc>
          <w:tcPr>
            <w:tcW w:type="dxa" w:w="1300"/>
          </w:tcPr>
          <w:p>
            <w:r>
              <w:rPr>
                <w:rFonts w:ascii="Arial" w:cs="Arial" w:eastAsia="Arial" w:hAnsi="Arial"/>
                <w:sz w:val="19"/>
                <w:szCs w:val="19"/>
              </w:rPr>
              <w:t xml:space="preserve">Record created within 24 hours of joining</w:t>
            </w:r>
          </w:p>
        </w:tc>
      </w:tr>
      <w:tr>
        <w:tc>
          <w:tcPr>
            <w:tcW w:type="dxa" w:w="500"/>
          </w:tcPr>
          <w:p>
            <w:r>
              <w:rPr>
                <w:rFonts w:ascii="Arial" w:cs="Arial" w:eastAsia="Arial" w:hAnsi="Arial"/>
                <w:sz w:val="19"/>
                <w:szCs w:val="19"/>
              </w:rPr>
              <w:t xml:space="preserve">5</w:t>
            </w:r>
          </w:p>
        </w:tc>
        <w:tc>
          <w:tcPr>
            <w:tcW w:type="dxa" w:w="1700"/>
          </w:tcPr>
          <w:p>
            <w:r>
              <w:rPr>
                <w:rFonts w:ascii="Arial" w:cs="Arial" w:eastAsia="Arial" w:hAnsi="Arial"/>
                <w:sz w:val="19"/>
                <w:szCs w:val="19"/>
              </w:rPr>
              <w:t xml:space="preserve">Induction &amp; role setup</w:t>
            </w:r>
          </w:p>
        </w:tc>
        <w:tc>
          <w:tcPr>
            <w:tcW w:type="dxa" w:w="1400"/>
          </w:tcPr>
          <w:p>
            <w:r>
              <w:rPr>
                <w:rFonts w:ascii="Arial" w:cs="Arial" w:eastAsia="Arial" w:hAnsi="Arial"/>
                <w:sz w:val="19"/>
                <w:szCs w:val="19"/>
              </w:rPr>
              <w:t xml:space="preserve">Plant HR Manager / L&amp;D</w:t>
            </w:r>
          </w:p>
        </w:tc>
        <w:tc>
          <w:tcPr>
            <w:tcW w:type="dxa" w:w="1200"/>
          </w:tcPr>
          <w:p>
            <w:r>
              <w:rPr>
                <w:rFonts w:ascii="Arial" w:cs="Arial" w:eastAsia="Arial" w:hAnsi="Arial"/>
                <w:sz w:val="19"/>
                <w:szCs w:val="19"/>
              </w:rPr>
              <w:t xml:space="preserve">Week 1</w:t>
            </w:r>
          </w:p>
        </w:tc>
        <w:tc>
          <w:tcPr>
            <w:tcW w:type="dxa" w:w="2800"/>
          </w:tcPr>
          <w:p>
            <w:r>
              <w:rPr>
                <w:rFonts w:ascii="Arial" w:cs="Arial" w:eastAsia="Arial" w:hAnsi="Arial"/>
                <w:sz w:val="19"/>
                <w:szCs w:val="19"/>
              </w:rPr>
              <w:t xml:space="preserve">Complete statutory induction, safety training (for workman roles), and system access setup</w:t>
            </w:r>
          </w:p>
        </w:tc>
        <w:tc>
          <w:tcPr>
            <w:tcW w:type="dxa" w:w="1600"/>
          </w:tcPr>
          <w:p>
            <w:r>
              <w:rPr>
                <w:rFonts w:ascii="Arial" w:cs="Arial" w:eastAsia="Arial" w:hAnsi="Arial"/>
                <w:sz w:val="19"/>
                <w:szCs w:val="19"/>
              </w:rPr>
              <w:t xml:space="preserve">Completed induction checklist</w:t>
            </w:r>
          </w:p>
        </w:tc>
        <w:tc>
          <w:tcPr>
            <w:tcW w:type="dxa" w:w="1300"/>
          </w:tcPr>
          <w:p>
            <w:r>
              <w:rPr>
                <w:rFonts w:ascii="Arial" w:cs="Arial" w:eastAsia="Arial" w:hAnsi="Arial"/>
                <w:sz w:val="19"/>
                <w:szCs w:val="19"/>
              </w:rPr>
              <w:t xml:space="preserve">100% completion before shopfloor deployment</w:t>
            </w:r>
          </w:p>
        </w:tc>
      </w:tr>
      <w:tr>
        <w:tc>
          <w:tcPr>
            <w:tcW w:type="dxa" w:w="500"/>
          </w:tcPr>
          <w:p>
            <w:r>
              <w:rPr>
                <w:rFonts w:ascii="Arial" w:cs="Arial" w:eastAsia="Arial" w:hAnsi="Arial"/>
                <w:sz w:val="19"/>
                <w:szCs w:val="19"/>
              </w:rPr>
              <w:t xml:space="preserve">6</w:t>
            </w:r>
          </w:p>
        </w:tc>
        <w:tc>
          <w:tcPr>
            <w:tcW w:type="dxa" w:w="1700"/>
          </w:tcPr>
          <w:p>
            <w:r>
              <w:rPr>
                <w:rFonts w:ascii="Arial" w:cs="Arial" w:eastAsia="Arial" w:hAnsi="Arial"/>
                <w:sz w:val="19"/>
                <w:szCs w:val="19"/>
              </w:rPr>
              <w:t xml:space="preserve">Ongoing performance management</w:t>
            </w:r>
          </w:p>
        </w:tc>
        <w:tc>
          <w:tcPr>
            <w:tcW w:type="dxa" w:w="1400"/>
          </w:tcPr>
          <w:p>
            <w:r>
              <w:rPr>
                <w:rFonts w:ascii="Arial" w:cs="Arial" w:eastAsia="Arial" w:hAnsi="Arial"/>
                <w:sz w:val="19"/>
                <w:szCs w:val="19"/>
              </w:rPr>
              <w:t xml:space="preserve">Reporting Manager</w:t>
            </w:r>
          </w:p>
        </w:tc>
        <w:tc>
          <w:tcPr>
            <w:tcW w:type="dxa" w:w="1200"/>
          </w:tcPr>
          <w:p>
            <w:r>
              <w:rPr>
                <w:rFonts w:ascii="Arial" w:cs="Arial" w:eastAsia="Arial" w:hAnsi="Arial"/>
                <w:sz w:val="19"/>
                <w:szCs w:val="19"/>
              </w:rPr>
              <w:t xml:space="preserve">Quarterly / Annual</w:t>
            </w:r>
          </w:p>
        </w:tc>
        <w:tc>
          <w:tcPr>
            <w:tcW w:type="dxa" w:w="2800"/>
          </w:tcPr>
          <w:p>
            <w:r>
              <w:rPr>
                <w:rFonts w:ascii="Arial" w:cs="Arial" w:eastAsia="Arial" w:hAnsi="Arial"/>
                <w:sz w:val="19"/>
                <w:szCs w:val="19"/>
              </w:rPr>
              <w:t xml:space="preserve">Conduct performance check-ins and formal annual rating on the 5-point scale</w:t>
            </w:r>
          </w:p>
        </w:tc>
        <w:tc>
          <w:tcPr>
            <w:tcW w:type="dxa" w:w="1600"/>
          </w:tcPr>
          <w:p>
            <w:r>
              <w:rPr>
                <w:rFonts w:ascii="Arial" w:cs="Arial" w:eastAsia="Arial" w:hAnsi="Arial"/>
                <w:sz w:val="19"/>
                <w:szCs w:val="19"/>
              </w:rPr>
              <w:t xml:space="preserve">Updated performance_rating_5pt in HRIS</w:t>
            </w:r>
          </w:p>
        </w:tc>
        <w:tc>
          <w:tcPr>
            <w:tcW w:type="dxa" w:w="1300"/>
          </w:tcPr>
          <w:p>
            <w:r>
              <w:rPr>
                <w:rFonts w:ascii="Arial" w:cs="Arial" w:eastAsia="Arial" w:hAnsi="Arial"/>
                <w:sz w:val="19"/>
                <w:szCs w:val="19"/>
              </w:rPr>
              <w:t xml:space="preserve">100% of active employees rated annually</w:t>
            </w:r>
          </w:p>
        </w:tc>
      </w:tr>
      <w:tr>
        <w:tc>
          <w:tcPr>
            <w:tcW w:type="dxa" w:w="500"/>
          </w:tcPr>
          <w:p>
            <w:r>
              <w:rPr>
                <w:rFonts w:ascii="Arial" w:cs="Arial" w:eastAsia="Arial" w:hAnsi="Arial"/>
                <w:sz w:val="19"/>
                <w:szCs w:val="19"/>
              </w:rPr>
              <w:t xml:space="preserve">7</w:t>
            </w:r>
          </w:p>
        </w:tc>
        <w:tc>
          <w:tcPr>
            <w:tcW w:type="dxa" w:w="1700"/>
          </w:tcPr>
          <w:p>
            <w:r>
              <w:rPr>
                <w:rFonts w:ascii="Arial" w:cs="Arial" w:eastAsia="Arial" w:hAnsi="Arial"/>
                <w:sz w:val="19"/>
                <w:szCs w:val="19"/>
              </w:rPr>
              <w:t xml:space="preserve">Internal movement (if applicable)</w:t>
            </w:r>
          </w:p>
        </w:tc>
        <w:tc>
          <w:tcPr>
            <w:tcW w:type="dxa" w:w="1400"/>
          </w:tcPr>
          <w:p>
            <w:r>
              <w:rPr>
                <w:rFonts w:ascii="Arial" w:cs="Arial" w:eastAsia="Arial" w:hAnsi="Arial"/>
                <w:sz w:val="19"/>
                <w:szCs w:val="19"/>
              </w:rPr>
              <w:t xml:space="preserve">Reporting Manager + HR Shared Services</w:t>
            </w:r>
          </w:p>
        </w:tc>
        <w:tc>
          <w:tcPr>
            <w:tcW w:type="dxa" w:w="1200"/>
          </w:tcPr>
          <w:p>
            <w:r>
              <w:rPr>
                <w:rFonts w:ascii="Arial" w:cs="Arial" w:eastAsia="Arial" w:hAnsi="Arial"/>
                <w:sz w:val="19"/>
                <w:szCs w:val="19"/>
              </w:rPr>
              <w:t xml:space="preserve">As triggered</w:t>
            </w:r>
          </w:p>
        </w:tc>
        <w:tc>
          <w:tcPr>
            <w:tcW w:type="dxa" w:w="2800"/>
          </w:tcPr>
          <w:p>
            <w:r>
              <w:rPr>
                <w:rFonts w:ascii="Arial" w:cs="Arial" w:eastAsia="Arial" w:hAnsi="Arial"/>
                <w:sz w:val="19"/>
                <w:szCs w:val="19"/>
              </w:rPr>
              <w:t xml:space="preserve">Process promotion/transfer, updating band, function, location, and manager fields</w:t>
            </w:r>
          </w:p>
        </w:tc>
        <w:tc>
          <w:tcPr>
            <w:tcW w:type="dxa" w:w="1600"/>
          </w:tcPr>
          <w:p>
            <w:r>
              <w:rPr>
                <w:rFonts w:ascii="Arial" w:cs="Arial" w:eastAsia="Arial" w:hAnsi="Arial"/>
                <w:sz w:val="19"/>
                <w:szCs w:val="19"/>
              </w:rPr>
              <w:t xml:space="preserve">Updated employee record</w:t>
            </w:r>
          </w:p>
        </w:tc>
        <w:tc>
          <w:tcPr>
            <w:tcW w:type="dxa" w:w="1300"/>
          </w:tcPr>
          <w:p>
            <w:r>
              <w:rPr>
                <w:rFonts w:ascii="Arial" w:cs="Arial" w:eastAsia="Arial" w:hAnsi="Arial"/>
                <w:sz w:val="19"/>
                <w:szCs w:val="19"/>
              </w:rPr>
              <w:t xml:space="preserve">Manager chain re-validated post-move</w:t>
            </w:r>
          </w:p>
        </w:tc>
      </w:tr>
      <w:tr>
        <w:tc>
          <w:tcPr>
            <w:tcW w:type="dxa" w:w="500"/>
          </w:tcPr>
          <w:p>
            <w:r>
              <w:rPr>
                <w:rFonts w:ascii="Arial" w:cs="Arial" w:eastAsia="Arial" w:hAnsi="Arial"/>
                <w:sz w:val="19"/>
                <w:szCs w:val="19"/>
              </w:rPr>
              <w:t xml:space="preserve">8</w:t>
            </w:r>
          </w:p>
        </w:tc>
        <w:tc>
          <w:tcPr>
            <w:tcW w:type="dxa" w:w="1700"/>
          </w:tcPr>
          <w:p>
            <w:r>
              <w:rPr>
                <w:rFonts w:ascii="Arial" w:cs="Arial" w:eastAsia="Arial" w:hAnsi="Arial"/>
                <w:sz w:val="19"/>
                <w:szCs w:val="19"/>
              </w:rPr>
              <w:t xml:space="preserve">Exit processing</w:t>
            </w:r>
          </w:p>
        </w:tc>
        <w:tc>
          <w:tcPr>
            <w:tcW w:type="dxa" w:w="1400"/>
          </w:tcPr>
          <w:p>
            <w:r>
              <w:rPr>
                <w:rFonts w:ascii="Arial" w:cs="Arial" w:eastAsia="Arial" w:hAnsi="Arial"/>
                <w:sz w:val="19"/>
                <w:szCs w:val="19"/>
              </w:rPr>
              <w:t xml:space="preserve">HR Shared Services + Payroll</w:t>
            </w:r>
          </w:p>
        </w:tc>
        <w:tc>
          <w:tcPr>
            <w:tcW w:type="dxa" w:w="1200"/>
          </w:tcPr>
          <w:p>
            <w:r>
              <w:rPr>
                <w:rFonts w:ascii="Arial" w:cs="Arial" w:eastAsia="Arial" w:hAnsi="Arial"/>
                <w:sz w:val="19"/>
                <w:szCs w:val="19"/>
              </w:rPr>
              <w:t xml:space="preserve">Last working day + 30 days</w:t>
            </w:r>
          </w:p>
        </w:tc>
        <w:tc>
          <w:tcPr>
            <w:tcW w:type="dxa" w:w="2800"/>
          </w:tcPr>
          <w:p>
            <w:r>
              <w:rPr>
                <w:rFonts w:ascii="Arial" w:cs="Arial" w:eastAsia="Arial" w:hAnsi="Arial"/>
                <w:sz w:val="19"/>
                <w:szCs w:val="19"/>
              </w:rPr>
              <w:t xml:space="preserve">Update employment_status, capture exit_date, process full-and-final settlement</w:t>
            </w:r>
          </w:p>
        </w:tc>
        <w:tc>
          <w:tcPr>
            <w:tcW w:type="dxa" w:w="1600"/>
          </w:tcPr>
          <w:p>
            <w:r>
              <w:rPr>
                <w:rFonts w:ascii="Arial" w:cs="Arial" w:eastAsia="Arial" w:hAnsi="Arial"/>
                <w:sz w:val="19"/>
                <w:szCs w:val="19"/>
              </w:rPr>
              <w:t xml:space="preserve">Closed employee record</w:t>
            </w:r>
          </w:p>
        </w:tc>
        <w:tc>
          <w:tcPr>
            <w:tcW w:type="dxa" w:w="1300"/>
          </w:tcPr>
          <w:p>
            <w:r>
              <w:rPr>
                <w:rFonts w:ascii="Arial" w:cs="Arial" w:eastAsia="Arial" w:hAnsi="Arial"/>
                <w:sz w:val="19"/>
                <w:szCs w:val="19"/>
              </w:rPr>
              <w:t xml:space="preserve">Full-and-final settlement within 30 days of last working day</w:t>
            </w:r>
          </w:p>
        </w:tc>
      </w:tr>
    </w:tbl>
    <w:p>
      <w:pPr>
        <w:pStyle w:val="Heading1"/>
        <w:spacing w:after="150" w:before="300"/>
      </w:pPr>
      <w:r>
        <w:rPr>
          <w:rFonts w:ascii="Arial" w:cs="Arial" w:eastAsia="Arial" w:hAnsi="Arial"/>
          <w:b/>
          <w:bCs/>
          <w:color w:val="2F5597"/>
          <w:sz w:val="26"/>
          <w:szCs w:val="26"/>
        </w:rPr>
        <w:t xml:space="preserve">6. Business Rules</w:t>
      </w:r>
    </w:p>
    <w:p>
      <w:pPr>
        <w:pStyle w:val="ListParagraph"/>
        <w:numPr>
          <w:ilvl w:val="0"/>
          <w:numId w:val="1"/>
        </w:numPr>
        <w:spacing w:after="80"/>
      </w:pPr>
      <w:r>
        <w:rPr>
          <w:rFonts w:ascii="Arial" w:cs="Arial" w:eastAsia="Arial" w:hAnsi="Arial"/>
          <w:sz w:val="21"/>
          <w:szCs w:val="21"/>
        </w:rPr>
        <w:t xml:space="preserve">No offer may be extended outside the approved job-band salary range without CHRO exception approval.</w:t>
      </w:r>
    </w:p>
    <w:p>
      <w:pPr>
        <w:pStyle w:val="ListParagraph"/>
        <w:numPr>
          <w:ilvl w:val="0"/>
          <w:numId w:val="1"/>
        </w:numPr>
        <w:spacing w:after="80"/>
      </w:pPr>
      <w:r>
        <w:rPr>
          <w:rFonts w:ascii="Arial" w:cs="Arial" w:eastAsia="Arial" w:hAnsi="Arial"/>
          <w:sz w:val="21"/>
          <w:szCs w:val="21"/>
        </w:rPr>
        <w:t xml:space="preserve">Every Management Staff employee must have a reporting_manager_id populated within 24 hours of onboarding; workmen report to a plant-level supervisor at the same location.</w:t>
      </w:r>
    </w:p>
    <w:p>
      <w:pPr>
        <w:pStyle w:val="ListParagraph"/>
        <w:numPr>
          <w:ilvl w:val="0"/>
          <w:numId w:val="1"/>
        </w:numPr>
        <w:spacing w:after="80"/>
      </w:pPr>
      <w:r>
        <w:rPr>
          <w:rFonts w:ascii="Arial" w:cs="Arial" w:eastAsia="Arial" w:hAnsi="Arial"/>
          <w:sz w:val="21"/>
          <w:szCs w:val="21"/>
        </w:rPr>
        <w:t xml:space="preserve">Performance ratings must be completed for 100% of active employees prior to the annual compensation review cycle.</w:t>
      </w:r>
    </w:p>
    <w:p>
      <w:pPr>
        <w:pStyle w:val="ListParagraph"/>
        <w:numPr>
          <w:ilvl w:val="0"/>
          <w:numId w:val="1"/>
        </w:numPr>
        <w:spacing w:after="80"/>
      </w:pPr>
      <w:r>
        <w:rPr>
          <w:rFonts w:ascii="Arial" w:cs="Arial" w:eastAsia="Arial" w:hAnsi="Arial"/>
          <w:sz w:val="21"/>
          <w:szCs w:val="21"/>
        </w:rPr>
        <w:t xml:space="preserve">Exit records retain the employee's full history (do not delete/anonymize) for statutory and audit purposes, consistent with data retention policy.</w:t>
      </w:r>
    </w:p>
    <w:p>
      <w:pPr>
        <w:pStyle w:val="ListParagraph"/>
        <w:numPr>
          <w:ilvl w:val="0"/>
          <w:numId w:val="1"/>
        </w:numPr>
        <w:spacing w:after="80"/>
      </w:pPr>
      <w:r>
        <w:rPr>
          <w:rFonts w:ascii="Arial" w:cs="Arial" w:eastAsia="Arial" w:hAnsi="Arial"/>
          <w:sz w:val="21"/>
          <w:szCs w:val="21"/>
        </w:rPr>
        <w:t xml:space="preserve">Contract Workman roles converting to Permanent Workman status require Plant HR Manager and Plant Head joint sign-off.</w:t>
      </w:r>
    </w:p>
    <w:p>
      <w:pPr>
        <w:pStyle w:val="Heading1"/>
        <w:spacing w:after="150" w:before="300"/>
      </w:pPr>
      <w:r>
        <w:rPr>
          <w:rFonts w:ascii="Arial" w:cs="Arial" w:eastAsia="Arial" w:hAnsi="Arial"/>
          <w:b/>
          <w:bCs/>
          <w:color w:val="2F5597"/>
          <w:sz w:val="26"/>
          <w:szCs w:val="26"/>
        </w:rPr>
        <w:t xml:space="preserve">7. Key Performance Indicators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300"/>
        <w:gridCol w:w="1500"/>
        <w:gridCol w:w="1500"/>
      </w:tblGrid>
      <w:tr>
        <w:tc>
          <w:tcPr>
            <w:tcW w:type="dxa" w:w="1800"/>
            <w:shd w:fill="2F5597" w:color="auto" w:val="clear"/>
          </w:tcPr>
          <w:p>
            <w:r>
              <w:rPr>
                <w:rFonts w:ascii="Arial" w:cs="Arial" w:eastAsia="Arial" w:hAnsi="Arial"/>
                <w:b/>
                <w:bCs/>
                <w:color w:val="FFFFFF"/>
                <w:sz w:val="19"/>
                <w:szCs w:val="19"/>
              </w:rPr>
              <w:t xml:space="preserve">KPI</w:t>
            </w:r>
          </w:p>
        </w:tc>
        <w:tc>
          <w:tcPr>
            <w:tcW w:type="dxa" w:w="3400"/>
            <w:shd w:fill="2F5597" w:color="auto" w:val="clear"/>
          </w:tcPr>
          <w:p>
            <w:r>
              <w:rPr>
                <w:rFonts w:ascii="Arial" w:cs="Arial" w:eastAsia="Arial" w:hAnsi="Arial"/>
                <w:b/>
                <w:bCs/>
                <w:color w:val="FFFFFF"/>
                <w:sz w:val="19"/>
                <w:szCs w:val="19"/>
              </w:rPr>
              <w:t xml:space="preserve">Definition / Formula</w:t>
            </w:r>
          </w:p>
        </w:tc>
        <w:tc>
          <w:tcPr>
            <w:tcW w:type="dxa" w:w="1300"/>
            <w:shd w:fill="2F5597" w:color="auto" w:val="clear"/>
          </w:tcPr>
          <w:p>
            <w:r>
              <w:rPr>
                <w:rFonts w:ascii="Arial" w:cs="Arial" w:eastAsia="Arial" w:hAnsi="Arial"/>
                <w:b/>
                <w:bCs/>
                <w:color w:val="FFFFFF"/>
                <w:sz w:val="19"/>
                <w:szCs w:val="19"/>
              </w:rPr>
              <w:t xml:space="preserve">Frequency</w:t>
            </w:r>
          </w:p>
        </w:tc>
        <w:tc>
          <w:tcPr>
            <w:tcW w:type="dxa" w:w="1500"/>
            <w:shd w:fill="2F5597" w:color="auto" w:val="clear"/>
          </w:tcPr>
          <w:p>
            <w:r>
              <w:rPr>
                <w:rFonts w:ascii="Arial" w:cs="Arial" w:eastAsia="Arial" w:hAnsi="Arial"/>
                <w:b/>
                <w:bCs/>
                <w:color w:val="FFFFFF"/>
                <w:sz w:val="19"/>
                <w:szCs w:val="19"/>
              </w:rPr>
              <w:t xml:space="preserve">Owner</w:t>
            </w:r>
          </w:p>
        </w:tc>
        <w:tc>
          <w:tcPr>
            <w:tcW w:type="dxa" w:w="1500"/>
            <w:shd w:fill="2F5597" w:color="auto" w:val="clear"/>
          </w:tcPr>
          <w:p>
            <w:r>
              <w:rPr>
                <w:rFonts w:ascii="Arial" w:cs="Arial" w:eastAsia="Arial" w:hAnsi="Arial"/>
                <w:b/>
                <w:bCs/>
                <w:color w:val="FFFFFF"/>
                <w:sz w:val="19"/>
                <w:szCs w:val="19"/>
              </w:rPr>
              <w:t xml:space="preserve">Synthetic Target</w:t>
            </w:r>
          </w:p>
        </w:tc>
      </w:tr>
      <w:tr>
        <w:tc>
          <w:tcPr>
            <w:tcW w:type="dxa" w:w="1800"/>
          </w:tcPr>
          <w:p>
            <w:r>
              <w:rPr>
                <w:rFonts w:ascii="Arial" w:cs="Arial" w:eastAsia="Arial" w:hAnsi="Arial"/>
                <w:sz w:val="19"/>
                <w:szCs w:val="19"/>
              </w:rPr>
              <w:t xml:space="preserve">Time to fill</w:t>
            </w:r>
          </w:p>
        </w:tc>
        <w:tc>
          <w:tcPr>
            <w:tcW w:type="dxa" w:w="3400"/>
          </w:tcPr>
          <w:p>
            <w:r>
              <w:rPr>
                <w:rFonts w:ascii="Arial" w:cs="Arial" w:eastAsia="Arial" w:hAnsi="Arial"/>
                <w:sz w:val="19"/>
                <w:szCs w:val="19"/>
              </w:rPr>
              <w:t xml:space="preserve">Days from requisition release to offer acceptance</w:t>
            </w:r>
          </w:p>
        </w:tc>
        <w:tc>
          <w:tcPr>
            <w:tcW w:type="dxa" w:w="1300"/>
          </w:tcPr>
          <w:p>
            <w:r>
              <w:rPr>
                <w:rFonts w:ascii="Arial" w:cs="Arial" w:eastAsia="Arial" w:hAnsi="Arial"/>
                <w:sz w:val="19"/>
                <w:szCs w:val="19"/>
              </w:rPr>
              <w:t xml:space="preserve">Monthly</w:t>
            </w:r>
          </w:p>
        </w:tc>
        <w:tc>
          <w:tcPr>
            <w:tcW w:type="dxa" w:w="1500"/>
          </w:tcPr>
          <w:p>
            <w:r>
              <w:rPr>
                <w:rFonts w:ascii="Arial" w:cs="Arial" w:eastAsia="Arial" w:hAnsi="Arial"/>
                <w:sz w:val="19"/>
                <w:szCs w:val="19"/>
              </w:rPr>
              <w:t xml:space="preserve">Talent Acquisition Partner</w:t>
            </w:r>
          </w:p>
        </w:tc>
        <w:tc>
          <w:tcPr>
            <w:tcW w:type="dxa" w:w="1500"/>
          </w:tcPr>
          <w:p>
            <w:r>
              <w:rPr>
                <w:rFonts w:ascii="Arial" w:cs="Arial" w:eastAsia="Arial" w:hAnsi="Arial"/>
                <w:sz w:val="19"/>
                <w:szCs w:val="19"/>
              </w:rPr>
              <w:t xml:space="preserve">≤30 days (Mgmt), ≤15 days (Workman)</w:t>
            </w:r>
          </w:p>
        </w:tc>
      </w:tr>
      <w:tr>
        <w:tc>
          <w:tcPr>
            <w:tcW w:type="dxa" w:w="1800"/>
          </w:tcPr>
          <w:p>
            <w:r>
              <w:rPr>
                <w:rFonts w:ascii="Arial" w:cs="Arial" w:eastAsia="Arial" w:hAnsi="Arial"/>
                <w:sz w:val="19"/>
                <w:szCs w:val="19"/>
              </w:rPr>
              <w:t xml:space="preserve">Onboarding data accuracy</w:t>
            </w:r>
          </w:p>
        </w:tc>
        <w:tc>
          <w:tcPr>
            <w:tcW w:type="dxa" w:w="3400"/>
          </w:tcPr>
          <w:p>
            <w:r>
              <w:rPr>
                <w:rFonts w:ascii="Arial" w:cs="Arial" w:eastAsia="Arial" w:hAnsi="Arial"/>
                <w:sz w:val="19"/>
                <w:szCs w:val="19"/>
              </w:rPr>
              <w:t xml:space="preserve">% of new hires with complete HRIS record within 24 hours</w:t>
            </w:r>
          </w:p>
        </w:tc>
        <w:tc>
          <w:tcPr>
            <w:tcW w:type="dxa" w:w="1300"/>
          </w:tcPr>
          <w:p>
            <w:r>
              <w:rPr>
                <w:rFonts w:ascii="Arial" w:cs="Arial" w:eastAsia="Arial" w:hAnsi="Arial"/>
                <w:sz w:val="19"/>
                <w:szCs w:val="19"/>
              </w:rPr>
              <w:t xml:space="preserve">Monthly</w:t>
            </w:r>
          </w:p>
        </w:tc>
        <w:tc>
          <w:tcPr>
            <w:tcW w:type="dxa" w:w="1500"/>
          </w:tcPr>
          <w:p>
            <w:r>
              <w:rPr>
                <w:rFonts w:ascii="Arial" w:cs="Arial" w:eastAsia="Arial" w:hAnsi="Arial"/>
                <w:sz w:val="19"/>
                <w:szCs w:val="19"/>
              </w:rPr>
              <w:t xml:space="preserve">HR Shared Services Lead</w:t>
            </w:r>
          </w:p>
        </w:tc>
        <w:tc>
          <w:tcPr>
            <w:tcW w:type="dxa" w:w="1500"/>
          </w:tcPr>
          <w:p>
            <w:r>
              <w:rPr>
                <w:rFonts w:ascii="Arial" w:cs="Arial" w:eastAsia="Arial" w:hAnsi="Arial"/>
                <w:sz w:val="19"/>
                <w:szCs w:val="19"/>
              </w:rPr>
              <w:t xml:space="preserve">≥98%</w:t>
            </w:r>
          </w:p>
        </w:tc>
      </w:tr>
      <w:tr>
        <w:tc>
          <w:tcPr>
            <w:tcW w:type="dxa" w:w="1800"/>
          </w:tcPr>
          <w:p>
            <w:r>
              <w:rPr>
                <w:rFonts w:ascii="Arial" w:cs="Arial" w:eastAsia="Arial" w:hAnsi="Arial"/>
                <w:sz w:val="19"/>
                <w:szCs w:val="19"/>
              </w:rPr>
              <w:t xml:space="preserve">Performance review completion</w:t>
            </w:r>
          </w:p>
        </w:tc>
        <w:tc>
          <w:tcPr>
            <w:tcW w:type="dxa" w:w="3400"/>
          </w:tcPr>
          <w:p>
            <w:r>
              <w:rPr>
                <w:rFonts w:ascii="Arial" w:cs="Arial" w:eastAsia="Arial" w:hAnsi="Arial"/>
                <w:sz w:val="19"/>
                <w:szCs w:val="19"/>
              </w:rPr>
              <w:t xml:space="preserve">% of active employees with completed annual rating</w:t>
            </w:r>
          </w:p>
        </w:tc>
        <w:tc>
          <w:tcPr>
            <w:tcW w:type="dxa" w:w="1300"/>
          </w:tcPr>
          <w:p>
            <w:r>
              <w:rPr>
                <w:rFonts w:ascii="Arial" w:cs="Arial" w:eastAsia="Arial" w:hAnsi="Arial"/>
                <w:sz w:val="19"/>
                <w:szCs w:val="19"/>
              </w:rPr>
              <w:t xml:space="preserve">Annual</w:t>
            </w:r>
          </w:p>
        </w:tc>
        <w:tc>
          <w:tcPr>
            <w:tcW w:type="dxa" w:w="1500"/>
          </w:tcPr>
          <w:p>
            <w:r>
              <w:rPr>
                <w:rFonts w:ascii="Arial" w:cs="Arial" w:eastAsia="Arial" w:hAnsi="Arial"/>
                <w:sz w:val="19"/>
                <w:szCs w:val="19"/>
              </w:rPr>
              <w:t xml:space="preserve">Reporting Manager (rolled up)</w:t>
            </w:r>
          </w:p>
        </w:tc>
        <w:tc>
          <w:tcPr>
            <w:tcW w:type="dxa" w:w="1500"/>
          </w:tcPr>
          <w:p>
            <w:r>
              <w:rPr>
                <w:rFonts w:ascii="Arial" w:cs="Arial" w:eastAsia="Arial" w:hAnsi="Arial"/>
                <w:sz w:val="19"/>
                <w:szCs w:val="19"/>
              </w:rPr>
              <w:t xml:space="preserve">100%</w:t>
            </w:r>
          </w:p>
        </w:tc>
      </w:tr>
      <w:tr>
        <w:tc>
          <w:tcPr>
            <w:tcW w:type="dxa" w:w="1800"/>
          </w:tcPr>
          <w:p>
            <w:r>
              <w:rPr>
                <w:rFonts w:ascii="Arial" w:cs="Arial" w:eastAsia="Arial" w:hAnsi="Arial"/>
                <w:sz w:val="19"/>
                <w:szCs w:val="19"/>
              </w:rPr>
              <w:t xml:space="preserve">Regrettable attrition rate</w:t>
            </w:r>
          </w:p>
        </w:tc>
        <w:tc>
          <w:tcPr>
            <w:tcW w:type="dxa" w:w="3400"/>
          </w:tcPr>
          <w:p>
            <w:r>
              <w:rPr>
                <w:rFonts w:ascii="Arial" w:cs="Arial" w:eastAsia="Arial" w:hAnsi="Arial"/>
                <w:sz w:val="19"/>
                <w:szCs w:val="19"/>
              </w:rPr>
              <w:t xml:space="preserve">Voluntary exits of high performers / Total headcount</w:t>
            </w:r>
          </w:p>
        </w:tc>
        <w:tc>
          <w:tcPr>
            <w:tcW w:type="dxa" w:w="1300"/>
          </w:tcPr>
          <w:p>
            <w:r>
              <w:rPr>
                <w:rFonts w:ascii="Arial" w:cs="Arial" w:eastAsia="Arial" w:hAnsi="Arial"/>
                <w:sz w:val="19"/>
                <w:szCs w:val="19"/>
              </w:rPr>
              <w:t xml:space="preserve">Quarterly</w:t>
            </w:r>
          </w:p>
        </w:tc>
        <w:tc>
          <w:tcPr>
            <w:tcW w:type="dxa" w:w="1500"/>
          </w:tcPr>
          <w:p>
            <w:r>
              <w:rPr>
                <w:rFonts w:ascii="Arial" w:cs="Arial" w:eastAsia="Arial" w:hAnsi="Arial"/>
                <w:sz w:val="19"/>
                <w:szCs w:val="19"/>
              </w:rPr>
              <w:t xml:space="preserve">HR Business Partner</w:t>
            </w:r>
          </w:p>
        </w:tc>
        <w:tc>
          <w:tcPr>
            <w:tcW w:type="dxa" w:w="1500"/>
          </w:tcPr>
          <w:p>
            <w:r>
              <w:rPr>
                <w:rFonts w:ascii="Arial" w:cs="Arial" w:eastAsia="Arial" w:hAnsi="Arial"/>
                <w:sz w:val="19"/>
                <w:szCs w:val="19"/>
              </w:rPr>
              <w:t xml:space="preserve">&lt;8%</w:t>
            </w:r>
          </w:p>
        </w:tc>
      </w:tr>
    </w:tbl>
    <w:p>
      <w:pPr>
        <w:pStyle w:val="Heading1"/>
        <w:spacing w:after="150" w:before="300"/>
      </w:pPr>
      <w:r>
        <w:rPr>
          <w:rFonts w:ascii="Arial" w:cs="Arial" w:eastAsia="Arial" w:hAnsi="Arial"/>
          <w:b/>
          <w:bCs/>
          <w:color w:val="2F5597"/>
          <w:sz w:val="26"/>
          <w:szCs w:val="26"/>
        </w:rPr>
        <w:t xml:space="preserve">8. Key Controls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300"/>
        <w:gridCol w:w="3000"/>
        <w:gridCol w:w="1300"/>
        <w:gridCol w:w="1100"/>
      </w:tblGrid>
      <w:tr>
        <w:tc>
          <w:tcPr>
            <w:tcW w:type="dxa" w:w="1100"/>
            <w:shd w:fill="2F5597" w:color="auto" w:val="clear"/>
          </w:tcPr>
          <w:p>
            <w:r>
              <w:rPr>
                <w:rFonts w:ascii="Arial" w:cs="Arial" w:eastAsia="Arial" w:hAnsi="Arial"/>
                <w:b/>
                <w:bCs/>
                <w:color w:val="FFFFFF"/>
                <w:sz w:val="19"/>
                <w:szCs w:val="19"/>
              </w:rPr>
              <w:t xml:space="preserve">Control ID</w:t>
            </w:r>
          </w:p>
        </w:tc>
        <w:tc>
          <w:tcPr>
            <w:tcW w:type="dxa" w:w="1700"/>
            <w:shd w:fill="2F5597" w:color="auto" w:val="clear"/>
          </w:tcPr>
          <w:p>
            <w:r>
              <w:rPr>
                <w:rFonts w:ascii="Arial" w:cs="Arial" w:eastAsia="Arial" w:hAnsi="Arial"/>
                <w:b/>
                <w:bCs/>
                <w:color w:val="FFFFFF"/>
                <w:sz w:val="19"/>
                <w:szCs w:val="19"/>
              </w:rPr>
              <w:t xml:space="preserve">Control</w:t>
            </w:r>
          </w:p>
        </w:tc>
        <w:tc>
          <w:tcPr>
            <w:tcW w:type="dxa" w:w="1300"/>
            <w:shd w:fill="2F5597" w:color="auto" w:val="clear"/>
          </w:tcPr>
          <w:p>
            <w:r>
              <w:rPr>
                <w:rFonts w:ascii="Arial" w:cs="Arial" w:eastAsia="Arial" w:hAnsi="Arial"/>
                <w:b/>
                <w:bCs/>
                <w:color w:val="FFFFFF"/>
                <w:sz w:val="19"/>
                <w:szCs w:val="19"/>
              </w:rPr>
              <w:t xml:space="preserve">Type</w:t>
            </w:r>
          </w:p>
        </w:tc>
        <w:tc>
          <w:tcPr>
            <w:tcW w:type="dxa" w:w="3000"/>
            <w:shd w:fill="2F5597" w:color="auto" w:val="clear"/>
          </w:tcPr>
          <w:p>
            <w:r>
              <w:rPr>
                <w:rFonts w:ascii="Arial" w:cs="Arial" w:eastAsia="Arial" w:hAnsi="Arial"/>
                <w:b/>
                <w:bCs/>
                <w:color w:val="FFFFFF"/>
                <w:sz w:val="19"/>
                <w:szCs w:val="19"/>
              </w:rPr>
              <w:t xml:space="preserve">Description</w:t>
            </w:r>
          </w:p>
        </w:tc>
        <w:tc>
          <w:tcPr>
            <w:tcW w:type="dxa" w:w="1300"/>
            <w:shd w:fill="2F5597" w:color="auto" w:val="clear"/>
          </w:tcPr>
          <w:p>
            <w:r>
              <w:rPr>
                <w:rFonts w:ascii="Arial" w:cs="Arial" w:eastAsia="Arial" w:hAnsi="Arial"/>
                <w:b/>
                <w:bCs/>
                <w:color w:val="FFFFFF"/>
                <w:sz w:val="19"/>
                <w:szCs w:val="19"/>
              </w:rPr>
              <w:t xml:space="preserve">Owner</w:t>
            </w:r>
          </w:p>
        </w:tc>
        <w:tc>
          <w:tcPr>
            <w:tcW w:type="dxa" w:w="1100"/>
            <w:shd w:fill="2F5597" w:color="auto" w:val="clear"/>
          </w:tcPr>
          <w:p>
            <w:r>
              <w:rPr>
                <w:rFonts w:ascii="Arial" w:cs="Arial" w:eastAsia="Arial" w:hAnsi="Arial"/>
                <w:b/>
                <w:bCs/>
                <w:color w:val="FFFFFF"/>
                <w:sz w:val="19"/>
                <w:szCs w:val="19"/>
              </w:rPr>
              <w:t xml:space="preserve">Frequency</w:t>
            </w:r>
          </w:p>
        </w:tc>
      </w:tr>
      <w:tr>
        <w:tc>
          <w:tcPr>
            <w:tcW w:type="dxa" w:w="1100"/>
          </w:tcPr>
          <w:p>
            <w:r>
              <w:rPr>
                <w:rFonts w:ascii="Arial" w:cs="Arial" w:eastAsia="Arial" w:hAnsi="Arial"/>
                <w:sz w:val="19"/>
                <w:szCs w:val="19"/>
              </w:rPr>
              <w:t xml:space="preserve">C-01</w:t>
            </w:r>
          </w:p>
        </w:tc>
        <w:tc>
          <w:tcPr>
            <w:tcW w:type="dxa" w:w="1700"/>
          </w:tcPr>
          <w:p>
            <w:r>
              <w:rPr>
                <w:rFonts w:ascii="Arial" w:cs="Arial" w:eastAsia="Arial" w:hAnsi="Arial"/>
                <w:sz w:val="19"/>
                <w:szCs w:val="19"/>
              </w:rPr>
              <w:t xml:space="preserve">Requisition-to-budget match</w:t>
            </w:r>
          </w:p>
        </w:tc>
        <w:tc>
          <w:tcPr>
            <w:tcW w:type="dxa" w:w="1300"/>
          </w:tcPr>
          <w:p>
            <w:r>
              <w:rPr>
                <w:rFonts w:ascii="Arial" w:cs="Arial" w:eastAsia="Arial" w:hAnsi="Arial"/>
                <w:sz w:val="19"/>
                <w:szCs w:val="19"/>
              </w:rPr>
              <w:t xml:space="preserve">Preventive</w:t>
            </w:r>
          </w:p>
        </w:tc>
        <w:tc>
          <w:tcPr>
            <w:tcW w:type="dxa" w:w="3000"/>
          </w:tcPr>
          <w:p>
            <w:r>
              <w:rPr>
                <w:rFonts w:ascii="Arial" w:cs="Arial" w:eastAsia="Arial" w:hAnsi="Arial"/>
                <w:sz w:val="19"/>
                <w:szCs w:val="19"/>
              </w:rPr>
              <w:t xml:space="preserve">ATS blocks requisition release unless linked to an approved HR-TAL-001 position ID</w:t>
            </w:r>
          </w:p>
        </w:tc>
        <w:tc>
          <w:tcPr>
            <w:tcW w:type="dxa" w:w="1300"/>
          </w:tcPr>
          <w:p>
            <w:r>
              <w:rPr>
                <w:rFonts w:ascii="Arial" w:cs="Arial" w:eastAsia="Arial" w:hAnsi="Arial"/>
                <w:sz w:val="19"/>
                <w:szCs w:val="19"/>
              </w:rPr>
              <w:t xml:space="preserve">System (ATS)</w:t>
            </w:r>
          </w:p>
        </w:tc>
        <w:tc>
          <w:tcPr>
            <w:tcW w:type="dxa" w:w="1100"/>
          </w:tcPr>
          <w:p>
            <w:r>
              <w:rPr>
                <w:rFonts w:ascii="Arial" w:cs="Arial" w:eastAsia="Arial" w:hAnsi="Arial"/>
                <w:sz w:val="19"/>
                <w:szCs w:val="19"/>
              </w:rPr>
              <w:t xml:space="preserve">Always-on</w:t>
            </w:r>
          </w:p>
        </w:tc>
      </w:tr>
      <w:tr>
        <w:tc>
          <w:tcPr>
            <w:tcW w:type="dxa" w:w="1100"/>
          </w:tcPr>
          <w:p>
            <w:r>
              <w:rPr>
                <w:rFonts w:ascii="Arial" w:cs="Arial" w:eastAsia="Arial" w:hAnsi="Arial"/>
                <w:sz w:val="19"/>
                <w:szCs w:val="19"/>
              </w:rPr>
              <w:t xml:space="preserve">C-02</w:t>
            </w:r>
          </w:p>
        </w:tc>
        <w:tc>
          <w:tcPr>
            <w:tcW w:type="dxa" w:w="1700"/>
          </w:tcPr>
          <w:p>
            <w:r>
              <w:rPr>
                <w:rFonts w:ascii="Arial" w:cs="Arial" w:eastAsia="Arial" w:hAnsi="Arial"/>
                <w:sz w:val="19"/>
                <w:szCs w:val="19"/>
              </w:rPr>
              <w:t xml:space="preserve">Offer band validation</w:t>
            </w:r>
          </w:p>
        </w:tc>
        <w:tc>
          <w:tcPr>
            <w:tcW w:type="dxa" w:w="1300"/>
          </w:tcPr>
          <w:p>
            <w:r>
              <w:rPr>
                <w:rFonts w:ascii="Arial" w:cs="Arial" w:eastAsia="Arial" w:hAnsi="Arial"/>
                <w:sz w:val="19"/>
                <w:szCs w:val="19"/>
              </w:rPr>
              <w:t xml:space="preserve">Preventive</w:t>
            </w:r>
          </w:p>
        </w:tc>
        <w:tc>
          <w:tcPr>
            <w:tcW w:type="dxa" w:w="3000"/>
          </w:tcPr>
          <w:p>
            <w:r>
              <w:rPr>
                <w:rFonts w:ascii="Arial" w:cs="Arial" w:eastAsia="Arial" w:hAnsi="Arial"/>
                <w:sz w:val="19"/>
                <w:szCs w:val="19"/>
              </w:rPr>
              <w:t xml:space="preserve">System flags any offer CTC outside the approved job-band range for manual approval</w:t>
            </w:r>
          </w:p>
        </w:tc>
        <w:tc>
          <w:tcPr>
            <w:tcW w:type="dxa" w:w="1300"/>
          </w:tcPr>
          <w:p>
            <w:r>
              <w:rPr>
                <w:rFonts w:ascii="Arial" w:cs="Arial" w:eastAsia="Arial" w:hAnsi="Arial"/>
                <w:sz w:val="19"/>
                <w:szCs w:val="19"/>
              </w:rPr>
              <w:t xml:space="preserve">HR Shared Services</w:t>
            </w:r>
          </w:p>
        </w:tc>
        <w:tc>
          <w:tcPr>
            <w:tcW w:type="dxa" w:w="1100"/>
          </w:tcPr>
          <w:p>
            <w:r>
              <w:rPr>
                <w:rFonts w:ascii="Arial" w:cs="Arial" w:eastAsia="Arial" w:hAnsi="Arial"/>
                <w:sz w:val="19"/>
                <w:szCs w:val="19"/>
              </w:rPr>
              <w:t xml:space="preserve">Per offer</w:t>
            </w:r>
          </w:p>
        </w:tc>
      </w:tr>
      <w:tr>
        <w:tc>
          <w:tcPr>
            <w:tcW w:type="dxa" w:w="1100"/>
          </w:tcPr>
          <w:p>
            <w:r>
              <w:rPr>
                <w:rFonts w:ascii="Arial" w:cs="Arial" w:eastAsia="Arial" w:hAnsi="Arial"/>
                <w:sz w:val="19"/>
                <w:szCs w:val="19"/>
              </w:rPr>
              <w:t xml:space="preserve">C-03</w:t>
            </w:r>
          </w:p>
        </w:tc>
        <w:tc>
          <w:tcPr>
            <w:tcW w:type="dxa" w:w="1700"/>
          </w:tcPr>
          <w:p>
            <w:r>
              <w:rPr>
                <w:rFonts w:ascii="Arial" w:cs="Arial" w:eastAsia="Arial" w:hAnsi="Arial"/>
                <w:sz w:val="19"/>
                <w:szCs w:val="19"/>
              </w:rPr>
              <w:t xml:space="preserve">Onboarding SLA monitoring</w:t>
            </w:r>
          </w:p>
        </w:tc>
        <w:tc>
          <w:tcPr>
            <w:tcW w:type="dxa" w:w="1300"/>
          </w:tcPr>
          <w:p>
            <w:r>
              <w:rPr>
                <w:rFonts w:ascii="Arial" w:cs="Arial" w:eastAsia="Arial" w:hAnsi="Arial"/>
                <w:sz w:val="19"/>
                <w:szCs w:val="19"/>
              </w:rPr>
              <w:t xml:space="preserve">Detective</w:t>
            </w:r>
          </w:p>
        </w:tc>
        <w:tc>
          <w:tcPr>
            <w:tcW w:type="dxa" w:w="3000"/>
          </w:tcPr>
          <w:p>
            <w:r>
              <w:rPr>
                <w:rFonts w:ascii="Arial" w:cs="Arial" w:eastAsia="Arial" w:hAnsi="Arial"/>
                <w:sz w:val="19"/>
                <w:szCs w:val="19"/>
              </w:rPr>
              <w:t xml:space="preserve">Daily report of new joiners without a completed HRIS record within 24 hours</w:t>
            </w:r>
          </w:p>
        </w:tc>
        <w:tc>
          <w:tcPr>
            <w:tcW w:type="dxa" w:w="1300"/>
          </w:tcPr>
          <w:p>
            <w:r>
              <w:rPr>
                <w:rFonts w:ascii="Arial" w:cs="Arial" w:eastAsia="Arial" w:hAnsi="Arial"/>
                <w:sz w:val="19"/>
                <w:szCs w:val="19"/>
              </w:rPr>
              <w:t xml:space="preserve">HR Shared Services Lead</w:t>
            </w:r>
          </w:p>
        </w:tc>
        <w:tc>
          <w:tcPr>
            <w:tcW w:type="dxa" w:w="1100"/>
          </w:tcPr>
          <w:p>
            <w:r>
              <w:rPr>
                <w:rFonts w:ascii="Arial" w:cs="Arial" w:eastAsia="Arial" w:hAnsi="Arial"/>
                <w:sz w:val="19"/>
                <w:szCs w:val="19"/>
              </w:rPr>
              <w:t xml:space="preserve">Daily</w:t>
            </w:r>
          </w:p>
        </w:tc>
      </w:tr>
      <w:tr>
        <w:tc>
          <w:tcPr>
            <w:tcW w:type="dxa" w:w="1100"/>
          </w:tcPr>
          <w:p>
            <w:r>
              <w:rPr>
                <w:rFonts w:ascii="Arial" w:cs="Arial" w:eastAsia="Arial" w:hAnsi="Arial"/>
                <w:sz w:val="19"/>
                <w:szCs w:val="19"/>
              </w:rPr>
              <w:t xml:space="preserve">C-04</w:t>
            </w:r>
          </w:p>
        </w:tc>
        <w:tc>
          <w:tcPr>
            <w:tcW w:type="dxa" w:w="1700"/>
          </w:tcPr>
          <w:p>
            <w:r>
              <w:rPr>
                <w:rFonts w:ascii="Arial" w:cs="Arial" w:eastAsia="Arial" w:hAnsi="Arial"/>
                <w:sz w:val="19"/>
                <w:szCs w:val="19"/>
              </w:rPr>
              <w:t xml:space="preserve">Exit settlement audit</w:t>
            </w:r>
          </w:p>
        </w:tc>
        <w:tc>
          <w:tcPr>
            <w:tcW w:type="dxa" w:w="1300"/>
          </w:tcPr>
          <w:p>
            <w:r>
              <w:rPr>
                <w:rFonts w:ascii="Arial" w:cs="Arial" w:eastAsia="Arial" w:hAnsi="Arial"/>
                <w:sz w:val="19"/>
                <w:szCs w:val="19"/>
              </w:rPr>
              <w:t xml:space="preserve">Detective</w:t>
            </w:r>
          </w:p>
        </w:tc>
        <w:tc>
          <w:tcPr>
            <w:tcW w:type="dxa" w:w="3000"/>
          </w:tcPr>
          <w:p>
            <w:r>
              <w:rPr>
                <w:rFonts w:ascii="Arial" w:cs="Arial" w:eastAsia="Arial" w:hAnsi="Arial"/>
                <w:sz w:val="19"/>
                <w:szCs w:val="19"/>
              </w:rPr>
              <w:t xml:space="preserve">Monthly audit of full-and-final settlements against the 30-day SLA</w:t>
            </w:r>
          </w:p>
        </w:tc>
        <w:tc>
          <w:tcPr>
            <w:tcW w:type="dxa" w:w="1300"/>
          </w:tcPr>
          <w:p>
            <w:r>
              <w:rPr>
                <w:rFonts w:ascii="Arial" w:cs="Arial" w:eastAsia="Arial" w:hAnsi="Arial"/>
                <w:sz w:val="19"/>
                <w:szCs w:val="19"/>
              </w:rPr>
              <w:t xml:space="preserve">Payroll Team</w:t>
            </w:r>
          </w:p>
        </w:tc>
        <w:tc>
          <w:tcPr>
            <w:tcW w:type="dxa" w:w="1100"/>
          </w:tcPr>
          <w:p>
            <w:r>
              <w:rPr>
                <w:rFonts w:ascii="Arial" w:cs="Arial" w:eastAsia="Arial" w:hAnsi="Arial"/>
                <w:sz w:val="19"/>
                <w:szCs w:val="19"/>
              </w:rPr>
              <w:t xml:space="preserve">Monthly</w:t>
            </w:r>
          </w:p>
        </w:tc>
      </w:tr>
    </w:tbl>
    <w:p>
      <w:pPr>
        <w:pStyle w:val="Heading1"/>
        <w:spacing w:after="150" w:before="300"/>
      </w:pPr>
      <w:r>
        <w:rPr>
          <w:rFonts w:ascii="Arial" w:cs="Arial" w:eastAsia="Arial" w:hAnsi="Arial"/>
          <w:b/>
          <w:bCs/>
          <w:color w:val="2F5597"/>
          <w:sz w:val="26"/>
          <w:szCs w:val="26"/>
        </w:rPr>
        <w:t xml:space="preserve">9. Exception Handling</w:t>
      </w:r>
    </w:p>
    <w:p>
      <w:pPr>
        <w:pStyle w:val="ListParagraph"/>
        <w:numPr>
          <w:ilvl w:val="0"/>
          <w:numId w:val="1"/>
        </w:numPr>
        <w:spacing w:after="80"/>
      </w:pPr>
      <w:r>
        <w:rPr>
          <w:rFonts w:ascii="Arial" w:cs="Arial" w:eastAsia="Arial" w:hAnsi="Arial"/>
          <w:sz w:val="21"/>
          <w:szCs w:val="21"/>
        </w:rPr>
        <w:t xml:space="preserve">If a candidate's offer requires a CTC exception outside the approved band, escalate to CHRO with written business justification before offer release.</w:t>
      </w:r>
    </w:p>
    <w:p>
      <w:pPr>
        <w:pStyle w:val="ListParagraph"/>
        <w:numPr>
          <w:ilvl w:val="0"/>
          <w:numId w:val="1"/>
        </w:numPr>
        <w:spacing w:after="80"/>
      </w:pPr>
      <w:r>
        <w:rPr>
          <w:rFonts w:ascii="Arial" w:cs="Arial" w:eastAsia="Arial" w:hAnsi="Arial"/>
          <w:sz w:val="21"/>
          <w:szCs w:val="21"/>
        </w:rPr>
        <w:t xml:space="preserve">If onboarding cannot be completed in HRIS within 24 hours due to system downtime, HR Shared Services manually logs the delay and completes the record within 48 hours, flagging it for audit.</w:t>
      </w:r>
    </w:p>
    <w:p>
      <w:pPr>
        <w:pStyle w:val="ListParagraph"/>
        <w:numPr>
          <w:ilvl w:val="0"/>
          <w:numId w:val="1"/>
        </w:numPr>
        <w:spacing w:after="80"/>
      </w:pPr>
      <w:r>
        <w:rPr>
          <w:rFonts w:ascii="Arial" w:cs="Arial" w:eastAsia="Arial" w:hAnsi="Arial"/>
          <w:sz w:val="21"/>
          <w:szCs w:val="21"/>
        </w:rPr>
        <w:t xml:space="preserve">If an employee disputes their performance rating, the case is routed to the HR Business Partner for a documented review within 10 business days before the rating is finalized in HRIS.</w:t>
      </w:r>
    </w:p>
    <w:p>
      <w:pPr>
        <w:pStyle w:val="ListParagraph"/>
        <w:numPr>
          <w:ilvl w:val="0"/>
          <w:numId w:val="1"/>
        </w:numPr>
        <w:spacing w:after="80"/>
      </w:pPr>
      <w:r>
        <w:rPr>
          <w:rFonts w:ascii="Arial" w:cs="Arial" w:eastAsia="Arial" w:hAnsi="Arial"/>
          <w:sz w:val="21"/>
          <w:szCs w:val="21"/>
        </w:rPr>
        <w:t xml:space="preserve">Involuntary termination cases require Legal &amp; Corporate Affairs sign-off before the exit is processed in HRIS.</w:t>
      </w:r>
    </w:p>
    <w:p>
      <w:pPr>
        <w:pStyle w:val="Heading1"/>
        <w:spacing w:after="150" w:before="300"/>
      </w:pPr>
      <w:r>
        <w:rPr>
          <w:rFonts w:ascii="Arial" w:cs="Arial" w:eastAsia="Arial" w:hAnsi="Arial"/>
          <w:b/>
          <w:bCs/>
          <w:color w:val="2F5597"/>
          <w:sz w:val="26"/>
          <w:szCs w:val="26"/>
        </w:rPr>
        <w:t xml:space="preserve">10.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200"/>
      </w:tblGrid>
      <w:tr>
        <w:tc>
          <w:tcPr>
            <w:tcW w:type="dxa" w:w="2500"/>
            <w:shd w:fill="2F5597" w:color="auto" w:val="clear"/>
          </w:tcPr>
          <w:p>
            <w:r>
              <w:rPr>
                <w:rFonts w:ascii="Arial" w:cs="Arial" w:eastAsia="Arial" w:hAnsi="Arial"/>
                <w:b/>
                <w:bCs/>
                <w:color w:val="FFFFFF"/>
                <w:sz w:val="19"/>
                <w:szCs w:val="19"/>
              </w:rPr>
              <w:t xml:space="preserve">Field Name</w:t>
            </w:r>
          </w:p>
        </w:tc>
        <w:tc>
          <w:tcPr>
            <w:tcW w:type="dxa" w:w="1800"/>
            <w:shd w:fill="2F5597" w:color="auto" w:val="clear"/>
          </w:tcPr>
          <w:p>
            <w:r>
              <w:rPr>
                <w:rFonts w:ascii="Arial" w:cs="Arial" w:eastAsia="Arial" w:hAnsi="Arial"/>
                <w:b/>
                <w:bCs/>
                <w:color w:val="FFFFFF"/>
                <w:sz w:val="19"/>
                <w:szCs w:val="19"/>
              </w:rPr>
              <w:t xml:space="preserve">Expected Type</w:t>
            </w:r>
          </w:p>
        </w:tc>
        <w:tc>
          <w:tcPr>
            <w:tcW w:type="dxa" w:w="5200"/>
            <w:shd w:fill="2F5597" w:color="auto" w:val="clear"/>
          </w:tcPr>
          <w:p>
            <w:r>
              <w:rPr>
                <w:rFonts w:ascii="Arial" w:cs="Arial" w:eastAsia="Arial" w:hAnsi="Arial"/>
                <w:b/>
                <w:bCs/>
                <w:color w:val="FFFFFF"/>
                <w:sz w:val="19"/>
                <w:szCs w:val="19"/>
              </w:rPr>
              <w:t xml:space="preserve">Automation Notes</w:t>
            </w:r>
          </w:p>
        </w:tc>
      </w:tr>
      <w:tr>
        <w:tc>
          <w:tcPr>
            <w:tcW w:type="dxa" w:w="2500"/>
          </w:tcPr>
          <w:p>
            <w:r>
              <w:rPr>
                <w:rFonts w:ascii="Arial" w:cs="Arial" w:eastAsia="Arial" w:hAnsi="Arial"/>
                <w:sz w:val="19"/>
                <w:szCs w:val="19"/>
              </w:rPr>
              <w:t xml:space="preserve">employee_id</w:t>
            </w:r>
          </w:p>
        </w:tc>
        <w:tc>
          <w:tcPr>
            <w:tcW w:type="dxa" w:w="1800"/>
          </w:tcPr>
          <w:p>
            <w:r>
              <w:rPr>
                <w:rFonts w:ascii="Arial" w:cs="Arial" w:eastAsia="Arial" w:hAnsi="Arial"/>
                <w:sz w:val="19"/>
                <w:szCs w:val="19"/>
              </w:rPr>
              <w:t xml:space="preserve">String (HUL-XXXXXX)</w:t>
            </w:r>
          </w:p>
        </w:tc>
        <w:tc>
          <w:tcPr>
            <w:tcW w:type="dxa" w:w="5200"/>
          </w:tcPr>
          <w:p>
            <w:r>
              <w:rPr>
                <w:rFonts w:ascii="Arial" w:cs="Arial" w:eastAsia="Arial" w:hAnsi="Arial"/>
                <w:sz w:val="19"/>
                <w:szCs w:val="19"/>
              </w:rPr>
              <w:t xml:space="preserve">Generated at onboarding; primary key throughout the lifecycle</w:t>
            </w:r>
          </w:p>
        </w:tc>
      </w:tr>
      <w:tr>
        <w:tc>
          <w:tcPr>
            <w:tcW w:type="dxa" w:w="2500"/>
          </w:tcPr>
          <w:p>
            <w:r>
              <w:rPr>
                <w:rFonts w:ascii="Arial" w:cs="Arial" w:eastAsia="Arial" w:hAnsi="Arial"/>
                <w:sz w:val="19"/>
                <w:szCs w:val="19"/>
              </w:rPr>
              <w:t xml:space="preserve">date_of_joining / exit_date</w:t>
            </w:r>
          </w:p>
        </w:tc>
        <w:tc>
          <w:tcPr>
            <w:tcW w:type="dxa" w:w="1800"/>
          </w:tcPr>
          <w:p>
            <w:r>
              <w:rPr>
                <w:rFonts w:ascii="Arial" w:cs="Arial" w:eastAsia="Arial" w:hAnsi="Arial"/>
                <w:sz w:val="19"/>
                <w:szCs w:val="19"/>
              </w:rPr>
              <w:t xml:space="preserve">Date</w:t>
            </w:r>
          </w:p>
        </w:tc>
        <w:tc>
          <w:tcPr>
            <w:tcW w:type="dxa" w:w="5200"/>
          </w:tcPr>
          <w:p>
            <w:r>
              <w:rPr>
                <w:rFonts w:ascii="Arial" w:cs="Arial" w:eastAsia="Arial" w:hAnsi="Arial"/>
                <w:sz w:val="19"/>
                <w:szCs w:val="19"/>
              </w:rPr>
              <w:t xml:space="preserve">Anchors tenure_years calculation and lifecycle-stage reporting</w:t>
            </w:r>
          </w:p>
        </w:tc>
      </w:tr>
      <w:tr>
        <w:tc>
          <w:tcPr>
            <w:tcW w:type="dxa" w:w="2500"/>
          </w:tcPr>
          <w:p>
            <w:r>
              <w:rPr>
                <w:rFonts w:ascii="Arial" w:cs="Arial" w:eastAsia="Arial" w:hAnsi="Arial"/>
                <w:sz w:val="19"/>
                <w:szCs w:val="19"/>
              </w:rPr>
              <w:t xml:space="preserve">employment_status</w:t>
            </w:r>
          </w:p>
        </w:tc>
        <w:tc>
          <w:tcPr>
            <w:tcW w:type="dxa" w:w="1800"/>
          </w:tcPr>
          <w:p>
            <w:r>
              <w:rPr>
                <w:rFonts w:ascii="Arial" w:cs="Arial" w:eastAsia="Arial" w:hAnsi="Arial"/>
                <w:sz w:val="19"/>
                <w:szCs w:val="19"/>
              </w:rPr>
              <w:t xml:space="preserve">Enum (Active / Resigned / Retired / Terminated)</w:t>
            </w:r>
          </w:p>
        </w:tc>
        <w:tc>
          <w:tcPr>
            <w:tcW w:type="dxa" w:w="5200"/>
          </w:tcPr>
          <w:p>
            <w:r>
              <w:rPr>
                <w:rFonts w:ascii="Arial" w:cs="Arial" w:eastAsia="Arial" w:hAnsi="Arial"/>
                <w:sz w:val="19"/>
                <w:szCs w:val="19"/>
              </w:rPr>
              <w:t xml:space="preserve">Drives which lifecycle stage automation applies (e.g., exit workflows)</w:t>
            </w:r>
          </w:p>
        </w:tc>
      </w:tr>
      <w:tr>
        <w:tc>
          <w:tcPr>
            <w:tcW w:type="dxa" w:w="2500"/>
          </w:tcPr>
          <w:p>
            <w:r>
              <w:rPr>
                <w:rFonts w:ascii="Arial" w:cs="Arial" w:eastAsia="Arial" w:hAnsi="Arial"/>
                <w:sz w:val="19"/>
                <w:szCs w:val="19"/>
              </w:rPr>
              <w:t xml:space="preserve">performance_rating_5pt</w:t>
            </w:r>
          </w:p>
        </w:tc>
        <w:tc>
          <w:tcPr>
            <w:tcW w:type="dxa" w:w="1800"/>
          </w:tcPr>
          <w:p>
            <w:r>
              <w:rPr>
                <w:rFonts w:ascii="Arial" w:cs="Arial" w:eastAsia="Arial" w:hAnsi="Arial"/>
                <w:sz w:val="19"/>
                <w:szCs w:val="19"/>
              </w:rPr>
              <w:t xml:space="preserve">Integer (1-5)</w:t>
            </w:r>
          </w:p>
        </w:tc>
        <w:tc>
          <w:tcPr>
            <w:tcW w:type="dxa" w:w="5200"/>
          </w:tcPr>
          <w:p>
            <w:r>
              <w:rPr>
                <w:rFonts w:ascii="Arial" w:cs="Arial" w:eastAsia="Arial" w:hAnsi="Arial"/>
                <w:sz w:val="19"/>
                <w:szCs w:val="19"/>
              </w:rPr>
              <w:t xml:space="preserve">Feeds into the Rewards element's annual comp-cycle process as a key input</w:t>
            </w:r>
          </w:p>
        </w:tc>
      </w:tr>
      <w:tr>
        <w:tc>
          <w:tcPr>
            <w:tcW w:type="dxa" w:w="2500"/>
          </w:tcPr>
          <w:p>
            <w:r>
              <w:rPr>
                <w:rFonts w:ascii="Arial" w:cs="Arial" w:eastAsia="Arial" w:hAnsi="Arial"/>
                <w:sz w:val="19"/>
                <w:szCs w:val="19"/>
              </w:rPr>
              <w:t xml:space="preserve">reporting_manager_id</w:t>
            </w:r>
          </w:p>
        </w:tc>
        <w:tc>
          <w:tcPr>
            <w:tcW w:type="dxa" w:w="1800"/>
          </w:tcPr>
          <w:p>
            <w:r>
              <w:rPr>
                <w:rFonts w:ascii="Arial" w:cs="Arial" w:eastAsia="Arial" w:hAnsi="Arial"/>
                <w:sz w:val="19"/>
                <w:szCs w:val="19"/>
              </w:rPr>
              <w:t xml:space="preserve">String (HUL-XXXXXX)</w:t>
            </w:r>
          </w:p>
        </w:tc>
        <w:tc>
          <w:tcPr>
            <w:tcW w:type="dxa" w:w="5200"/>
          </w:tcPr>
          <w:p>
            <w:r>
              <w:rPr>
                <w:rFonts w:ascii="Arial" w:cs="Arial" w:eastAsia="Arial" w:hAnsi="Arial"/>
                <w:sz w:val="19"/>
                <w:szCs w:val="19"/>
              </w:rPr>
              <w:t xml:space="preserve">Self-referencing FK; must always resolve to an Active employee record</w:t>
            </w:r>
          </w:p>
        </w:tc>
      </w:tr>
    </w:tbl>
    <w:p>
      <w:pPr>
        <w:pStyle w:val="Heading1"/>
        <w:spacing w:after="150" w:before="300"/>
      </w:pPr>
      <w:r>
        <w:rPr>
          <w:rFonts w:ascii="Arial" w:cs="Arial" w:eastAsia="Arial" w:hAnsi="Arial"/>
          <w:b/>
          <w:bCs/>
          <w:color w:val="2F5597"/>
          <w:sz w:val="26"/>
          <w:szCs w:val="26"/>
        </w:rPr>
        <w:t xml:space="preserve">11. Process Risks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2200"/>
        <w:gridCol w:w="2900"/>
      </w:tblGrid>
      <w:tr>
        <w:tc>
          <w:tcPr>
            <w:tcW w:type="dxa" w:w="1000"/>
            <w:shd w:fill="2F5597" w:color="auto" w:val="clear"/>
          </w:tcPr>
          <w:p>
            <w:r>
              <w:rPr>
                <w:rFonts w:ascii="Arial" w:cs="Arial" w:eastAsia="Arial" w:hAnsi="Arial"/>
                <w:b/>
                <w:bCs/>
                <w:color w:val="FFFFFF"/>
                <w:sz w:val="19"/>
                <w:szCs w:val="19"/>
              </w:rPr>
              <w:t xml:space="preserve">Risk ID</w:t>
            </w:r>
          </w:p>
        </w:tc>
        <w:tc>
          <w:tcPr>
            <w:tcW w:type="dxa" w:w="3400"/>
            <w:shd w:fill="2F5597" w:color="auto" w:val="clear"/>
          </w:tcPr>
          <w:p>
            <w:r>
              <w:rPr>
                <w:rFonts w:ascii="Arial" w:cs="Arial" w:eastAsia="Arial" w:hAnsi="Arial"/>
                <w:b/>
                <w:bCs/>
                <w:color w:val="FFFFFF"/>
                <w:sz w:val="19"/>
                <w:szCs w:val="19"/>
              </w:rPr>
              <w:t xml:space="preserve">Risk Statement</w:t>
            </w:r>
          </w:p>
        </w:tc>
        <w:tc>
          <w:tcPr>
            <w:tcW w:type="dxa" w:w="2200"/>
            <w:shd w:fill="2F5597" w:color="auto" w:val="clear"/>
          </w:tcPr>
          <w:p>
            <w:r>
              <w:rPr>
                <w:rFonts w:ascii="Arial" w:cs="Arial" w:eastAsia="Arial" w:hAnsi="Arial"/>
                <w:b/>
                <w:bCs/>
                <w:color w:val="FFFFFF"/>
                <w:sz w:val="19"/>
                <w:szCs w:val="19"/>
              </w:rPr>
              <w:t xml:space="preserve">Indicative Impact</w:t>
            </w:r>
          </w:p>
        </w:tc>
        <w:tc>
          <w:tcPr>
            <w:tcW w:type="dxa" w:w="2900"/>
            <w:shd w:fill="2F5597" w:color="auto" w:val="clear"/>
          </w:tcPr>
          <w:p>
            <w:r>
              <w:rPr>
                <w:rFonts w:ascii="Arial" w:cs="Arial" w:eastAsia="Arial" w:hAnsi="Arial"/>
                <w:b/>
                <w:bCs/>
                <w:color w:val="FFFFFF"/>
                <w:sz w:val="19"/>
                <w:szCs w:val="19"/>
              </w:rPr>
              <w:t xml:space="preserve">Primary Mitigation</w:t>
            </w:r>
          </w:p>
        </w:tc>
      </w:tr>
      <w:tr>
        <w:tc>
          <w:tcPr>
            <w:tcW w:type="dxa" w:w="1000"/>
          </w:tcPr>
          <w:p>
            <w:r>
              <w:rPr>
                <w:rFonts w:ascii="Arial" w:cs="Arial" w:eastAsia="Arial" w:hAnsi="Arial"/>
                <w:sz w:val="19"/>
                <w:szCs w:val="19"/>
              </w:rPr>
              <w:t xml:space="preserve">R-01</w:t>
            </w:r>
          </w:p>
        </w:tc>
        <w:tc>
          <w:tcPr>
            <w:tcW w:type="dxa" w:w="3400"/>
          </w:tcPr>
          <w:p>
            <w:r>
              <w:rPr>
                <w:rFonts w:ascii="Arial" w:cs="Arial" w:eastAsia="Arial" w:hAnsi="Arial"/>
                <w:sz w:val="19"/>
                <w:szCs w:val="19"/>
              </w:rPr>
              <w:t xml:space="preserve">Offer extended outside approved band without exception approval, causing pay-equity issues</w:t>
            </w:r>
          </w:p>
        </w:tc>
        <w:tc>
          <w:tcPr>
            <w:tcW w:type="dxa" w:w="2200"/>
          </w:tcPr>
          <w:p>
            <w:r>
              <w:rPr>
                <w:rFonts w:ascii="Arial" w:cs="Arial" w:eastAsia="Arial" w:hAnsi="Arial"/>
                <w:sz w:val="19"/>
                <w:szCs w:val="19"/>
              </w:rPr>
              <w:t xml:space="preserve">High - compensation compliance risk</w:t>
            </w:r>
          </w:p>
        </w:tc>
        <w:tc>
          <w:tcPr>
            <w:tcW w:type="dxa" w:w="2900"/>
          </w:tcPr>
          <w:p>
            <w:r>
              <w:rPr>
                <w:rFonts w:ascii="Arial" w:cs="Arial" w:eastAsia="Arial" w:hAnsi="Arial"/>
                <w:sz w:val="19"/>
                <w:szCs w:val="19"/>
              </w:rPr>
              <w:t xml:space="preserve">System-enforced band validation (Control C-02)</w:t>
            </w:r>
          </w:p>
        </w:tc>
      </w:tr>
      <w:tr>
        <w:tc>
          <w:tcPr>
            <w:tcW w:type="dxa" w:w="1000"/>
          </w:tcPr>
          <w:p>
            <w:r>
              <w:rPr>
                <w:rFonts w:ascii="Arial" w:cs="Arial" w:eastAsia="Arial" w:hAnsi="Arial"/>
                <w:sz w:val="19"/>
                <w:szCs w:val="19"/>
              </w:rPr>
              <w:t xml:space="preserve">R-02</w:t>
            </w:r>
          </w:p>
        </w:tc>
        <w:tc>
          <w:tcPr>
            <w:tcW w:type="dxa" w:w="3400"/>
          </w:tcPr>
          <w:p>
            <w:r>
              <w:rPr>
                <w:rFonts w:ascii="Arial" w:cs="Arial" w:eastAsia="Arial" w:hAnsi="Arial"/>
                <w:sz w:val="19"/>
                <w:szCs w:val="19"/>
              </w:rPr>
              <w:t xml:space="preserve">Delayed onboarding data entry causes downstream payroll/access errors</w:t>
            </w:r>
          </w:p>
        </w:tc>
        <w:tc>
          <w:tcPr>
            <w:tcW w:type="dxa" w:w="2200"/>
          </w:tcPr>
          <w:p>
            <w:r>
              <w:rPr>
                <w:rFonts w:ascii="Arial" w:cs="Arial" w:eastAsia="Arial" w:hAnsi="Arial"/>
                <w:sz w:val="19"/>
                <w:szCs w:val="19"/>
              </w:rPr>
              <w:t xml:space="preserve">Medium - operational disruption for new hire</w:t>
            </w:r>
          </w:p>
        </w:tc>
        <w:tc>
          <w:tcPr>
            <w:tcW w:type="dxa" w:w="2900"/>
          </w:tcPr>
          <w:p>
            <w:r>
              <w:rPr>
                <w:rFonts w:ascii="Arial" w:cs="Arial" w:eastAsia="Arial" w:hAnsi="Arial"/>
                <w:sz w:val="19"/>
                <w:szCs w:val="19"/>
              </w:rPr>
              <w:t xml:space="preserve">Daily SLA monitoring (Control C-03)</w:t>
            </w:r>
          </w:p>
        </w:tc>
      </w:tr>
      <w:tr>
        <w:tc>
          <w:tcPr>
            <w:tcW w:type="dxa" w:w="1000"/>
          </w:tcPr>
          <w:p>
            <w:r>
              <w:rPr>
                <w:rFonts w:ascii="Arial" w:cs="Arial" w:eastAsia="Arial" w:hAnsi="Arial"/>
                <w:sz w:val="19"/>
                <w:szCs w:val="19"/>
              </w:rPr>
              <w:t xml:space="preserve">R-03</w:t>
            </w:r>
          </w:p>
        </w:tc>
        <w:tc>
          <w:tcPr>
            <w:tcW w:type="dxa" w:w="3400"/>
          </w:tcPr>
          <w:p>
            <w:r>
              <w:rPr>
                <w:rFonts w:ascii="Arial" w:cs="Arial" w:eastAsia="Arial" w:hAnsi="Arial"/>
                <w:sz w:val="19"/>
                <w:szCs w:val="19"/>
              </w:rPr>
              <w:t xml:space="preserve">Incomplete performance ratings distort the downstream Rewards compensation cycle</w:t>
            </w:r>
          </w:p>
        </w:tc>
        <w:tc>
          <w:tcPr>
            <w:tcW w:type="dxa" w:w="2200"/>
          </w:tcPr>
          <w:p>
            <w:r>
              <w:rPr>
                <w:rFonts w:ascii="Arial" w:cs="Arial" w:eastAsia="Arial" w:hAnsi="Arial"/>
                <w:sz w:val="19"/>
                <w:szCs w:val="19"/>
              </w:rPr>
              <w:t xml:space="preserve">Medium - inequitable pay decisions</w:t>
            </w:r>
          </w:p>
        </w:tc>
        <w:tc>
          <w:tcPr>
            <w:tcW w:type="dxa" w:w="2900"/>
          </w:tcPr>
          <w:p>
            <w:r>
              <w:rPr>
                <w:rFonts w:ascii="Arial" w:cs="Arial" w:eastAsia="Arial" w:hAnsi="Arial"/>
                <w:sz w:val="19"/>
                <w:szCs w:val="19"/>
              </w:rPr>
              <w:t xml:space="preserve">100% completion requirement enforced before comp cycle opens</w:t>
            </w:r>
          </w:p>
        </w:tc>
      </w:tr>
    </w:tbl>
    <w:p>
      <w:pPr>
        <w:pStyle w:val="Heading1"/>
        <w:spacing w:after="150" w:before="300"/>
      </w:pPr>
      <w:r>
        <w:rPr>
          <w:rFonts w:ascii="Arial" w:cs="Arial" w:eastAsia="Arial" w:hAnsi="Arial"/>
          <w:b/>
          <w:bCs/>
          <w:color w:val="2F5597"/>
          <w:sz w:val="26"/>
          <w:szCs w:val="26"/>
        </w:rPr>
        <w:t xml:space="preserve">12. O2V Automation Extraction Hints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c>
          <w:tcPr>
            <w:tcW w:type="dxa" w:w="2500"/>
            <w:shd w:fill="2F5597" w:color="auto" w:val="clear"/>
          </w:tcPr>
          <w:p>
            <w:r>
              <w:rPr>
                <w:rFonts w:ascii="Arial" w:cs="Arial" w:eastAsia="Arial" w:hAnsi="Arial"/>
                <w:b/>
                <w:bCs/>
                <w:color w:val="FFFFFF"/>
                <w:sz w:val="19"/>
                <w:szCs w:val="19"/>
              </w:rPr>
              <w:t xml:space="preserve">Extraction Element</w:t>
            </w:r>
          </w:p>
        </w:tc>
        <w:tc>
          <w:tcPr>
            <w:tcW w:type="dxa" w:w="2500"/>
            <w:shd w:fill="2F5597" w:color="auto" w:val="clear"/>
          </w:tcPr>
          <w:p>
            <w:r>
              <w:rPr>
                <w:rFonts w:ascii="Arial" w:cs="Arial" w:eastAsia="Arial" w:hAnsi="Arial"/>
                <w:b/>
                <w:bCs/>
                <w:color w:val="FFFFFF"/>
                <w:sz w:val="19"/>
                <w:szCs w:val="19"/>
              </w:rPr>
              <w:t xml:space="preserve">Synthetic Value</w:t>
            </w:r>
          </w:p>
        </w:tc>
        <w:tc>
          <w:tcPr>
            <w:tcW w:type="dxa" w:w="4500"/>
            <w:shd w:fill="2F5597" w:color="auto" w:val="clear"/>
          </w:tcPr>
          <w:p>
            <w:r>
              <w:rPr>
                <w:rFonts w:ascii="Arial" w:cs="Arial" w:eastAsia="Arial" w:hAnsi="Arial"/>
                <w:b/>
                <w:bCs/>
                <w:color w:val="FFFFFF"/>
                <w:sz w:val="19"/>
                <w:szCs w:val="19"/>
              </w:rPr>
              <w:t xml:space="preserve">O2V Use</w:t>
            </w:r>
          </w:p>
        </w:tc>
      </w:tr>
      <w:tr>
        <w:tc>
          <w:tcPr>
            <w:tcW w:type="dxa" w:w="2500"/>
          </w:tcPr>
          <w:p>
            <w:r>
              <w:rPr>
                <w:rFonts w:ascii="Arial" w:cs="Arial" w:eastAsia="Arial" w:hAnsi="Arial"/>
                <w:sz w:val="19"/>
                <w:szCs w:val="19"/>
              </w:rPr>
              <w:t xml:space="preserve">time_to_fill_by_location</w:t>
            </w:r>
          </w:p>
        </w:tc>
        <w:tc>
          <w:tcPr>
            <w:tcW w:type="dxa" w:w="2500"/>
          </w:tcPr>
          <w:p>
            <w:r>
              <w:rPr>
                <w:rFonts w:ascii="Arial" w:cs="Arial" w:eastAsia="Arial" w:hAnsi="Arial"/>
                <w:sz w:val="19"/>
                <w:szCs w:val="19"/>
              </w:rPr>
              <w:t xml:space="preserve">Numeric (days), per location/category</w:t>
            </w:r>
          </w:p>
        </w:tc>
        <w:tc>
          <w:tcPr>
            <w:tcW w:type="dxa" w:w="4500"/>
          </w:tcPr>
          <w:p>
            <w:r>
              <w:rPr>
                <w:rFonts w:ascii="Arial" w:cs="Arial" w:eastAsia="Arial" w:hAnsi="Arial"/>
                <w:sz w:val="19"/>
                <w:szCs w:val="19"/>
              </w:rPr>
              <w:t xml:space="preserve">Feeds the Talent dashboard's recruitment funnel panel; cross-references HR-TAL-001 for plan-vs-actual fill rate</w:t>
            </w:r>
          </w:p>
        </w:tc>
      </w:tr>
      <w:tr>
        <w:tc>
          <w:tcPr>
            <w:tcW w:type="dxa" w:w="2500"/>
          </w:tcPr>
          <w:p>
            <w:r>
              <w:rPr>
                <w:rFonts w:ascii="Arial" w:cs="Arial" w:eastAsia="Arial" w:hAnsi="Arial"/>
                <w:sz w:val="19"/>
                <w:szCs w:val="19"/>
              </w:rPr>
              <w:t xml:space="preserve">performance_rating_distribution</w:t>
            </w:r>
          </w:p>
        </w:tc>
        <w:tc>
          <w:tcPr>
            <w:tcW w:type="dxa" w:w="2500"/>
          </w:tcPr>
          <w:p>
            <w:r>
              <w:rPr>
                <w:rFonts w:ascii="Arial" w:cs="Arial" w:eastAsia="Arial" w:hAnsi="Arial"/>
                <w:sz w:val="19"/>
                <w:szCs w:val="19"/>
              </w:rPr>
              <w:t xml:space="preserve">Numeric distribution, per function/band</w:t>
            </w:r>
          </w:p>
        </w:tc>
        <w:tc>
          <w:tcPr>
            <w:tcW w:type="dxa" w:w="4500"/>
          </w:tcPr>
          <w:p>
            <w:r>
              <w:rPr>
                <w:rFonts w:ascii="Arial" w:cs="Arial" w:eastAsia="Arial" w:hAnsi="Arial"/>
                <w:sz w:val="19"/>
                <w:szCs w:val="19"/>
              </w:rPr>
              <w:t xml:space="preserve">Cross-references the Rewards element's annual comp-cycle process doc, which consumes this as a direct input</w:t>
            </w:r>
          </w:p>
        </w:tc>
      </w:tr>
      <w:tr>
        <w:tc>
          <w:tcPr>
            <w:tcW w:type="dxa" w:w="2500"/>
          </w:tcPr>
          <w:p>
            <w:r>
              <w:rPr>
                <w:rFonts w:ascii="Arial" w:cs="Arial" w:eastAsia="Arial" w:hAnsi="Arial"/>
                <w:sz w:val="19"/>
                <w:szCs w:val="19"/>
              </w:rPr>
              <w:t xml:space="preserve">exit_reason_codes</w:t>
            </w:r>
          </w:p>
        </w:tc>
        <w:tc>
          <w:tcPr>
            <w:tcW w:type="dxa" w:w="2500"/>
          </w:tcPr>
          <w:p>
            <w:r>
              <w:rPr>
                <w:rFonts w:ascii="Arial" w:cs="Arial" w:eastAsia="Arial" w:hAnsi="Arial"/>
                <w:sz w:val="19"/>
                <w:szCs w:val="19"/>
              </w:rPr>
              <w:t xml:space="preserve">Categorical, per employee_id</w:t>
            </w:r>
          </w:p>
        </w:tc>
        <w:tc>
          <w:tcPr>
            <w:tcW w:type="dxa" w:w="4500"/>
          </w:tcPr>
          <w:p>
            <w:r>
              <w:rPr>
                <w:rFonts w:ascii="Arial" w:cs="Arial" w:eastAsia="Arial" w:hAnsi="Arial"/>
                <w:sz w:val="19"/>
                <w:szCs w:val="19"/>
              </w:rPr>
              <w:t xml:space="preserve">Feeds attrition-forecasting inputs back into HR-TAL-001 Step 1 (planning calendar) for the next cycle</w:t>
            </w:r>
          </w:p>
        </w:tc>
      </w:tr>
    </w:tbl>
    <w:p>
      <w:pPr>
        <w:pStyle w:val="Heading1"/>
        <w:spacing w:after="150" w:before="300"/>
      </w:pPr>
      <w:r>
        <w:rPr>
          <w:rFonts w:ascii="Arial" w:cs="Arial" w:eastAsia="Arial" w:hAnsi="Arial"/>
          <w:b/>
          <w:bCs/>
          <w:color w:val="2F5597"/>
          <w:sz w:val="26"/>
          <w:szCs w:val="26"/>
        </w:rPr>
        <w:t xml:space="preserve">13. 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300"/>
        <w:gridCol w:w="2400"/>
      </w:tblGrid>
      <w:tr>
        <w:tc>
          <w:tcPr>
            <w:tcW w:type="dxa" w:w="1200"/>
            <w:shd w:fill="2F5597" w:color="auto" w:val="clear"/>
          </w:tcPr>
          <w:p>
            <w:r>
              <w:rPr>
                <w:rFonts w:ascii="Arial" w:cs="Arial" w:eastAsia="Arial" w:hAnsi="Arial"/>
                <w:b/>
                <w:bCs/>
                <w:color w:val="FFFFFF"/>
                <w:sz w:val="19"/>
                <w:szCs w:val="19"/>
              </w:rPr>
              <w:t xml:space="preserve">Version</w:t>
            </w:r>
          </w:p>
        </w:tc>
        <w:tc>
          <w:tcPr>
            <w:tcW w:type="dxa" w:w="1600"/>
            <w:shd w:fill="2F5597" w:color="auto" w:val="clear"/>
          </w:tcPr>
          <w:p>
            <w:r>
              <w:rPr>
                <w:rFonts w:ascii="Arial" w:cs="Arial" w:eastAsia="Arial" w:hAnsi="Arial"/>
                <w:b/>
                <w:bCs/>
                <w:color w:val="FFFFFF"/>
                <w:sz w:val="19"/>
                <w:szCs w:val="19"/>
              </w:rPr>
              <w:t xml:space="preserve">Date</w:t>
            </w:r>
          </w:p>
        </w:tc>
        <w:tc>
          <w:tcPr>
            <w:tcW w:type="dxa" w:w="4300"/>
            <w:shd w:fill="2F5597" w:color="auto" w:val="clear"/>
          </w:tcPr>
          <w:p>
            <w:r>
              <w:rPr>
                <w:rFonts w:ascii="Arial" w:cs="Arial" w:eastAsia="Arial" w:hAnsi="Arial"/>
                <w:b/>
                <w:bCs/>
                <w:color w:val="FFFFFF"/>
                <w:sz w:val="19"/>
                <w:szCs w:val="19"/>
              </w:rPr>
              <w:t xml:space="preserve">Change</w:t>
            </w:r>
          </w:p>
        </w:tc>
        <w:tc>
          <w:tcPr>
            <w:tcW w:type="dxa" w:w="2400"/>
            <w:shd w:fill="2F5597" w:color="auto" w:val="clear"/>
          </w:tcPr>
          <w:p>
            <w:r>
              <w:rPr>
                <w:rFonts w:ascii="Arial" w:cs="Arial" w:eastAsia="Arial" w:hAnsi="Arial"/>
                <w:b/>
                <w:bCs/>
                <w:color w:val="FFFFFF"/>
                <w:sz w:val="19"/>
                <w:szCs w:val="19"/>
              </w:rPr>
              <w:t xml:space="preserve">Approved By</w:t>
            </w:r>
          </w:p>
        </w:tc>
      </w:tr>
      <w:tr>
        <w:tc>
          <w:tcPr>
            <w:tcW w:type="dxa" w:w="1200"/>
          </w:tcPr>
          <w:p>
            <w:r>
              <w:rPr>
                <w:rFonts w:ascii="Arial" w:cs="Arial" w:eastAsia="Arial" w:hAnsi="Arial"/>
                <w:sz w:val="19"/>
                <w:szCs w:val="19"/>
              </w:rPr>
              <w:t xml:space="preserve">1.0</w:t>
            </w:r>
          </w:p>
        </w:tc>
        <w:tc>
          <w:tcPr>
            <w:tcW w:type="dxa" w:w="1600"/>
          </w:tcPr>
          <w:p>
            <w:r>
              <w:rPr>
                <w:rFonts w:ascii="Arial" w:cs="Arial" w:eastAsia="Arial" w:hAnsi="Arial"/>
                <w:sz w:val="19"/>
                <w:szCs w:val="19"/>
              </w:rPr>
              <w:t xml:space="preserve">01-Apr-2026</w:t>
            </w:r>
          </w:p>
        </w:tc>
        <w:tc>
          <w:tcPr>
            <w:tcW w:type="dxa" w:w="4300"/>
          </w:tcPr>
          <w:p>
            <w:r>
              <w:rPr>
                <w:rFonts w:ascii="Arial" w:cs="Arial" w:eastAsia="Arial" w:hAnsi="Arial"/>
                <w:sz w:val="19"/>
                <w:szCs w:val="19"/>
              </w:rPr>
              <w:t xml:space="preserve">Initial synthetic version created for O2V pipeline testing</w:t>
            </w:r>
          </w:p>
        </w:tc>
        <w:tc>
          <w:tcPr>
            <w:tcW w:type="dxa" w:w="2400"/>
          </w:tcPr>
          <w:p>
            <w:r>
              <w:rPr>
                <w:rFonts w:ascii="Arial" w:cs="Arial" w:eastAsia="Arial" w:hAnsi="Arial"/>
                <w:sz w:val="19"/>
                <w:szCs w:val="19"/>
              </w:rPr>
              <w:t xml:space="preserve">CHRO (synthetic)</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2026-08-10T08:29:28.113Z</dcterms:created>
  <dcterms:modified xsi:type="dcterms:W3CDTF">2026-08-10T08:29:28.114Z</dcterms:modified>
</cp:coreProperties>
</file>

<file path=docProps/custom.xml><?xml version="1.0" encoding="utf-8"?>
<Properties xmlns="http://schemas.openxmlformats.org/officeDocument/2006/custom-properties" xmlns:vt="http://schemas.openxmlformats.org/officeDocument/2006/docPropsVTypes"/>
</file>