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F5597"/>
          <w:sz w:val="36"/>
          <w:szCs w:val="36"/>
        </w:rPr>
        <w:t xml:space="preserve">Vendor Onboarding &amp; Responsible Partner Policy (RPP) Compliance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ID: SCM-ECO-001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Function: Procurement / Supply Chain — Ecosystem (O2V Element)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Version 1.0 | Effective Date: 01-Apr-2026 | Owner: Head of Responsible Sourcing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color w:val="C00000"/>
          <w:sz w:val="18"/>
          <w:szCs w:val="18"/>
        </w:rPr>
        <w:t xml:space="preserve">Classification: Internal - Synthetic Test Data</w:t>
      </w:r>
    </w:p>
    <w:p>
      <w:pPr>
        <w:pBdr>
          <w:bottom w:val="single" w:color="2F5597" w:sz="6" w:space="4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1. Purpose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This process defines how a prospective vendor (raw materials, packaging, contract manufacturing, logistics, or services) is evaluated, onboarded, and continuously monitored against HUL's Responsible Partner Policy (RPP), which since end-2022 governs all suppliers and blocks onboarding of any supplier that does not meet mandatory requirements.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2. Scope and Trigger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In scope: onboarding and ongoing compliance monitoring for all vendor categories reflected in the Ecosystem element dataset (Raw Materials, Packaging, Contract Manufacturing, Logistics &amp; C&amp;F, Distributors, Marketing &amp; Creative Agencies, IT/Digital Services, Facility/MRO). Out of scope: Project Shakti rural distribution partner onboarding (covered under SCM-ECO-002). Trigger: a business need identified by a category buyer for a new vendor relationship, or a scheduled re-certification of an existing vendor.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3. Inputs and Systems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Inputs / Source Data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6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application / RFP response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Submitted by prospective vendor with commercial and compliance documentation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RPP mandatory requirements checklist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Governs labor practices, environmental standards, and business integrity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spend threshold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Determines the required approval level (buyer, category manager, or CPO)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 vendor risk rating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re-certification cycles, drawn from the prior audit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Enterprise Systems Used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6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Process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Ariba / SAP Procurement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master data, purchase orders, and spend tracking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Third-Party Risk Management (TPRM) Platform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RPP compliance scoring and audit trail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 Portal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Vendor-facing document submission and status tracking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Power BI / dashboard layer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spend and compliance-status visualization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4. Roles and Responsibilities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Buyer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Initiates vendor evaluation and manages the commercial relationship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Responsible Sourcing Analyst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Conducts the RPP compliance assessment and documentation review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Manager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Approves vendor onboarding within delegated spend authority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Chief Procurement Officer (CPO)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Approves onboarding above the category manager's delegated authority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Third-Party Auditor</w:t>
            </w:r>
          </w:p>
        </w:tc>
        <w:tc>
          <w:tcPr>
            <w:tcW w:type="dxa" w:w="6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Conducts on-site audits for high-risk or high-spend vendor categories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5. Detailed Process Flow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400"/>
        <w:gridCol w:w="1200"/>
        <w:gridCol w:w="2800"/>
        <w:gridCol w:w="1600"/>
        <w:gridCol w:w="1300"/>
      </w:tblGrid>
      <w:tr>
        <w:tc>
          <w:tcPr>
            <w:tcW w:type="dxa" w:w="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4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  <w:tc>
          <w:tcPr>
            <w:tcW w:type="dxa" w:w="1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28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Procedure</w:t>
            </w:r>
          </w:p>
        </w:tc>
        <w:tc>
          <w:tcPr>
            <w:tcW w:type="dxa" w:w="16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/ SLA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identification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Buyer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0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Identify a prospective vendor via RFP, category sourcing event, or referral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shortlisted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3 vendors evaluated for new categories &gt;₹1 Cr annual spend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RPP documentation submission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Prospective Vendor (via Supplier Portal)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1-10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submits labor practice, environmental, and business integrity documentation against the RPP checklist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 RPP submission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Submission must be complete before assessment begins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RPP compliance assessment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Responsible Sourcing Analyst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10-20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submission against mandatory RPP requirements; assign initial risk_rating (Low/Medium/High)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RPP assessment report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'mandatory' RPP failure blocks onboarding automatically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On-site audit (if triggered)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Third-Party Auditor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20-35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High risk rating or spend &gt;₹5 Cr/year, conduct an on-site audit of labor and safety practices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report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required for 100% of High-risk / high-spend vendors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Commercial &amp; compliance approval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Manager / CPO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35-40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vendor onboarding based on commercial terms and RPP compliance status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Approved vendor status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 level determined by category spend threshold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master creation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Buyer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40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the vendor record in Ariba/SAP with category, spend authorization, and payment terms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vendor_id created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must include current rpp_compliance_status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Ongoing monitoring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Responsible Sourcing Analyst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Continuous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for compliance flags, news/media alerts, or complaint escalations against active vendors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Updated risk_rating (if changed)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flagged vendor re-assessed within 15 business days</w:t>
            </w:r>
          </w:p>
        </w:tc>
      </w:tr>
      <w:tr>
        <w:tc>
          <w:tcPr>
            <w:tcW w:type="dxa" w:w="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Periodic re-certification</w:t>
            </w:r>
          </w:p>
        </w:tc>
        <w:tc>
          <w:tcPr>
            <w:tcW w:type="dxa" w:w="1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Responsible Sourcing Analyst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Annual (High-risk); Biennial (Low/Medium)</w:t>
            </w:r>
          </w:p>
        </w:tc>
        <w:tc>
          <w:tcPr>
            <w:tcW w:type="dxa" w:w="2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Re-run the RPP assessment for existing vendors on a risk-based cycle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Renewed or revoked compliance status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of active vendors re-certified on schedule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6. Business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 vendor with a 'Non-Compliant - Suspended' RPP status cannot receive new purchase orders under any circumstance until re-certified.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Vendors classified as High risk_rating require on-site audit before any onboarding approval is granted, regardless of category spend.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Onboarding approval authority scales with spend: Category Manager up to ₹5 Cr/year, CPO above ₹5 Cr/year.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Overseas raw-material vendors (e.g., palm oil derivatives) are subject to the same RPP mandatory requirements as domestic vendors — no geography-based exemption.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Sustainability certification status is tracked separately from RPP compliance and does not substitute for it.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7. Key Performance Indicators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1300"/>
        <w:gridCol w:w="1500"/>
        <w:gridCol w:w="1500"/>
      </w:tblGrid>
      <w:tr>
        <w:tc>
          <w:tcPr>
            <w:tcW w:type="dxa" w:w="18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4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 / Formula</w:t>
            </w:r>
          </w:p>
        </w:tc>
        <w:tc>
          <w:tcPr>
            <w:tcW w:type="dxa" w:w="1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Synthetic Target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Onboarding cycle time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Days from vendor identification to active vendor_id creation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Buyer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≤40 days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RPP compliance rate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Compliant vendors / Total active vendors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of Responsible Sourcing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≥78%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High-risk audit completion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% of High-risk vendors with completed on-site audit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Quarterly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Responsible Sourcing Analyst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Sustainable sourcing %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Spend with sustainability_certified=True / Total spend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Annual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of Responsible Sourcing</w:t>
            </w:r>
          </w:p>
        </w:tc>
        <w:tc>
          <w:tcPr>
            <w:tcW w:type="dxa" w:w="1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≥62%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8. Key Controls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300"/>
        <w:gridCol w:w="3000"/>
        <w:gridCol w:w="1300"/>
        <w:gridCol w:w="1100"/>
      </w:tblGrid>
      <w:tr>
        <w:tc>
          <w:tcPr>
            <w:tcW w:type="dxa" w:w="11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ID</w:t>
            </w:r>
          </w:p>
        </w:tc>
        <w:tc>
          <w:tcPr>
            <w:tcW w:type="dxa" w:w="17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1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C-01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 onboarding block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Preventive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TPRM platform blocks vendor master creation if any RPP mandatory requirement is unmet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(TPRM)</w:t>
            </w:r>
          </w:p>
        </w:tc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Always-on</w:t>
            </w:r>
          </w:p>
        </w:tc>
      </w:tr>
      <w:tr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C-02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Spend-based approval routing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Preventive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Ariba workflow routes approval to Category Manager or CPO based on category spend threshold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(Ariba)</w:t>
            </w:r>
          </w:p>
        </w:tc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onboarding</w:t>
            </w:r>
          </w:p>
        </w:tc>
      </w:tr>
      <w:tr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C-03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re-rating trigger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Detective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Automated alert when adverse media or a compliance complaint is logged against an active vendor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Responsible Sourcing Analyst</w:t>
            </w:r>
          </w:p>
        </w:tc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Continuous</w:t>
            </w:r>
          </w:p>
        </w:tc>
      </w:tr>
      <w:tr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C-04</w:t>
            </w:r>
          </w:p>
        </w:tc>
        <w:tc>
          <w:tcPr>
            <w:tcW w:type="dxa" w:w="17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Re-certification schedule tracking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Detective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flags any vendor overdue for scheduled re-certification</w:t>
            </w:r>
          </w:p>
        </w:tc>
        <w:tc>
          <w:tcPr>
            <w:tcW w:type="dxa" w:w="1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Head of Responsible Sourcing</w:t>
            </w:r>
          </w:p>
        </w:tc>
        <w:tc>
          <w:tcPr>
            <w:tcW w:type="dxa" w:w="11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9. Exception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vendor documentation submission is incomplete, the Responsible Sourcing Analyst returns it with specific gaps identified; the 20-day assessment clock pauses until resubmission.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an on-site audit cannot be scheduled within the standard window due to vendor location/access constraints, a remote documentary audit may substitute with CPO sign-off, logged as an exception.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a previously Compliant vendor is re-rated High-risk mid-cycle, existing purchase orders are honored but no new POs are issued until re-assessment is complete.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Sole-source vendors (no viable alternative) that fail a non-mandatory RPP requirement may be onboarded under a time-bound Corrective Action Plan with CPO approval.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10. Data Dictionary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200"/>
      </w:tblGrid>
      <w:tr>
        <w:tc>
          <w:tcPr>
            <w:tcW w:type="dxa" w:w="2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8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Type</w:t>
            </w:r>
          </w:p>
        </w:tc>
        <w:tc>
          <w:tcPr>
            <w:tcW w:type="dxa" w:w="5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Automation Notes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vendor_id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(VEN-XXXXXX)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key; created only after Step 6 approval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rpp_compliance_status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 (Compliant / Under Corrective Action Plan / Under Review / Non-Compliant - Suspended)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Drives whether new purchase orders can be issued (Business Rule 1)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risk_rating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 (Low / Medium / High)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Determines audit requirement (Business Rule 2) and re-certification frequency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annual_spend_inr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 (INR)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Determines approval authority level (Business Rule 3)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sustainability_certified</w:t>
            </w:r>
          </w:p>
        </w:tc>
        <w:tc>
          <w:tcPr>
            <w:tcW w:type="dxa" w:w="18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5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Tracked separately from RPP status; feeds the sustainable sourcing % KPI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11. Process Risks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200"/>
        <w:gridCol w:w="2900"/>
      </w:tblGrid>
      <w:tr>
        <w:tc>
          <w:tcPr>
            <w:tcW w:type="dxa" w:w="10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34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Statement</w:t>
            </w:r>
          </w:p>
        </w:tc>
        <w:tc>
          <w:tcPr>
            <w:tcW w:type="dxa" w:w="2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Indicative Impact</w:t>
            </w:r>
          </w:p>
        </w:tc>
        <w:tc>
          <w:tcPr>
            <w:tcW w:type="dxa" w:w="29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Mitigation</w:t>
            </w:r>
          </w:p>
        </w:tc>
      </w:tr>
      <w:tr>
        <w:tc>
          <w:tcPr>
            <w:tcW w:type="dxa" w:w="1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R-01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non-compliant vendor is inadvertently onboarded due to incomplete documentation review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- regulatory/reputational risk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 system-level onboarding block (Control C-01)</w:t>
            </w:r>
          </w:p>
        </w:tc>
      </w:tr>
      <w:tr>
        <w:tc>
          <w:tcPr>
            <w:tcW w:type="dxa" w:w="1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R-02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Re-certification backlog allows a vendor's compliance status to go stale without detection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- undetected compliance drift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dashboard tracking of overdue re-certifications (Control C-04)</w:t>
            </w:r>
          </w:p>
        </w:tc>
      </w:tr>
      <w:tr>
        <w:tc>
          <w:tcPr>
            <w:tcW w:type="dxa" w:w="10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R-03</w:t>
            </w:r>
          </w:p>
        </w:tc>
        <w:tc>
          <w:tcPr>
            <w:tcW w:type="dxa" w:w="3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Overseas raw-material vendors face weaker documentation verification than domestic vendors</w:t>
            </w:r>
          </w:p>
        </w:tc>
        <w:tc>
          <w:tcPr>
            <w:tcW w:type="dxa" w:w="2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- inconsistent compliance standard</w:t>
            </w:r>
          </w:p>
        </w:tc>
        <w:tc>
          <w:tcPr>
            <w:tcW w:type="dxa" w:w="29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RPP mandatory requirements applied uniformly regardless of geography (Business Rule 4)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12. O2V Automation Extraction Hints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c>
          <w:tcPr>
            <w:tcW w:type="dxa" w:w="2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Extraction Element</w:t>
            </w:r>
          </w:p>
        </w:tc>
        <w:tc>
          <w:tcPr>
            <w:tcW w:type="dxa" w:w="2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Synthetic Value</w:t>
            </w:r>
          </w:p>
        </w:tc>
        <w:tc>
          <w:tcPr>
            <w:tcW w:type="dxa" w:w="45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O2V Use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rpp_compliance_by_category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 distribution, per vendor category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 the Ecosystem dashboard's compliance-risk panel; cross-references the Talent element for plant-level vendor concentration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spend_concentration_by_vendor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 (Pareto distribution), per category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Feeds anomaly-detection logic in the ingestion pipeline (flag single-vendor spend concentration &gt;20% of category)</w:t>
            </w:r>
          </w:p>
        </w:tc>
      </w:tr>
      <w:tr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audit_completion_status</w:t>
            </w:r>
          </w:p>
        </w:tc>
        <w:tc>
          <w:tcPr>
            <w:tcW w:type="dxa" w:w="2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Boolean, per vendor_id</w:t>
            </w:r>
          </w:p>
        </w:tc>
        <w:tc>
          <w:tcPr>
            <w:tcW w:type="dxa" w:w="45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Cross-references SCM-ECO-002 for the parallel monitoring approach used with Project Shakti partners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2F5597"/>
          <w:sz w:val="26"/>
          <w:szCs w:val="26"/>
        </w:rPr>
        <w:t xml:space="preserve">13. Revision History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300"/>
        <w:gridCol w:w="2400"/>
      </w:tblGrid>
      <w:tr>
        <w:tc>
          <w:tcPr>
            <w:tcW w:type="dxa" w:w="12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3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2400"/>
            <w:shd w:fill="2F559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12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01-Apr-2026</w:t>
            </w:r>
          </w:p>
        </w:tc>
        <w:tc>
          <w:tcPr>
            <w:tcW w:type="dxa" w:w="43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 synthetic version created for O2V pipeline testing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CPO (synthetic)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2026-08-10T08:29:28.375Z</dcterms:created>
  <dcterms:modified xsi:type="dcterms:W3CDTF">2026-08-10T08:29:28.375Z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