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40"/>
      </w:pPr>
      <w:r>
        <w:rPr>
          <w:rFonts w:ascii="Arial" w:hAnsi="Arial"/>
          <w:b/>
          <w:color w:val="0057B8"/>
          <w:sz w:val="44"/>
        </w:rPr>
        <w:t>ZETAKILL PN</w:t>
      </w:r>
    </w:p>
    <w:p>
      <w:pPr>
        <w:spacing w:after="320"/>
      </w:pPr>
      <w:r>
        <w:rPr>
          <w:rFonts w:ascii="Arial" w:hAnsi="Arial"/>
          <w:color w:val="555555"/>
          <w:sz w:val="20"/>
        </w:rPr>
        <w:t>PEROXIDE NEUTRALIZER</w:t>
      </w:r>
    </w:p>
    <w:p>
      <w:pPr>
        <w:spacing w:after="240"/>
        <w:pBdr>
          <w:bottom w:val="single" w:sz="4" w:space="1" w:color="CCCCCC"/>
        </w:pBdr>
      </w:pPr>
    </w:p>
    <w:p>
      <w:pPr>
        <w:spacing w:before="280" w:after="80"/>
        <w:pBdr>
          <w:bottom w:val="single" w:sz="6" w:space="1" w:color="0057B8"/>
        </w:pBdr>
      </w:pPr>
      <w:r>
        <w:rPr>
          <w:rFonts w:ascii="Arial" w:hAnsi="Arial"/>
          <w:b/>
          <w:color w:val="0057B8"/>
          <w:sz w:val="24"/>
        </w:rPr>
        <w:t>Product Description:</w:t>
      </w:r>
    </w:p>
    <w:p>
      <w:pPr>
        <w:spacing w:after="120"/>
      </w:pPr>
      <w:r>
        <w:rPr>
          <w:rFonts w:ascii="Arial" w:hAnsi="Arial"/>
          <w:color w:val="333333"/>
          <w:sz w:val="20"/>
        </w:rPr>
        <w:t>Zetakill PN is a cost-effective peroxide neutralizer specially formulated to eliminate residual hydrogen peroxide remaining after the bleaching process. It plays a critical role in preparing cotton fabrics for reactive dyeing by ensuring complete peroxide removal, which is essential to avoid shade variation and uneven dye uptake. By using Zetakill PN, mills can significantly reduce or even eliminate intermediate hot and cold rinsing steps, thus saving valuable water, energy, and processing time. Its effective performance ensures consistent dyeing results while enhancing overall process efficiency.</w:t>
      </w:r>
    </w:p>
    <w:p>
      <w:pPr>
        <w:spacing w:before="280" w:after="80"/>
        <w:pBdr>
          <w:bottom w:val="single" w:sz="6" w:space="1" w:color="0057B8"/>
        </w:pBdr>
      </w:pPr>
      <w:r>
        <w:rPr>
          <w:rFonts w:ascii="Arial" w:hAnsi="Arial"/>
          <w:b/>
          <w:color w:val="0057B8"/>
          <w:sz w:val="24"/>
        </w:rPr>
        <w:t>Key Benefits:</w:t>
      </w:r>
    </w:p>
    <w:p>
      <w:pPr>
        <w:spacing w:after="80"/>
        <w:ind w:left="360"/>
      </w:pPr>
      <w:r>
        <w:rPr>
          <w:rFonts w:ascii="Arial" w:hAnsi="Arial"/>
          <w:b/>
          <w:sz w:val="20"/>
        </w:rPr>
        <w:t>1. Process Time &amp; Resource Reduction:</w:t>
      </w:r>
      <w:r>
        <w:rPr>
          <w:rFonts w:ascii="Arial" w:hAnsi="Arial"/>
          <w:color w:val="333333"/>
          <w:sz w:val="20"/>
        </w:rPr>
        <w:t xml:space="preserve"> Significantly reduces process time by minimising or eliminating intermediate washes between bleaching and dyeing, leading to lower water usage and reduced effluent load.</w:t>
      </w:r>
    </w:p>
    <w:p>
      <w:pPr>
        <w:spacing w:after="80"/>
        <w:ind w:left="360"/>
      </w:pPr>
      <w:r>
        <w:rPr>
          <w:rFonts w:ascii="Arial" w:hAnsi="Arial"/>
          <w:b/>
          <w:sz w:val="20"/>
        </w:rPr>
        <w:t>2. Safe &amp; Overdose Tolerant:</w:t>
      </w:r>
      <w:r>
        <w:rPr>
          <w:rFonts w:ascii="Arial" w:hAnsi="Arial"/>
          <w:color w:val="333333"/>
          <w:sz w:val="20"/>
        </w:rPr>
        <w:t xml:space="preserve"> Safe to use without risk — excess dosage does not interfere with dyeing or affect the final shade.</w:t>
      </w:r>
    </w:p>
    <w:p>
      <w:pPr>
        <w:spacing w:after="80"/>
        <w:ind w:left="360"/>
      </w:pPr>
      <w:r>
        <w:rPr>
          <w:rFonts w:ascii="Arial" w:hAnsi="Arial"/>
          <w:b/>
          <w:sz w:val="20"/>
        </w:rPr>
        <w:t>3. Effective at High Temperature:</w:t>
      </w:r>
      <w:r>
        <w:rPr>
          <w:rFonts w:ascii="Arial" w:hAnsi="Arial"/>
          <w:color w:val="333333"/>
          <w:sz w:val="20"/>
        </w:rPr>
        <w:t xml:space="preserve"> Starts deactivating residual peroxide effectively at temperatures above 70°C, ensuring thorough neutralisation.</w:t>
      </w:r>
    </w:p>
    <w:p>
      <w:pPr>
        <w:spacing w:after="80"/>
        <w:ind w:left="360"/>
      </w:pPr>
      <w:r>
        <w:rPr>
          <w:rFonts w:ascii="Arial" w:hAnsi="Arial"/>
          <w:b/>
          <w:sz w:val="20"/>
        </w:rPr>
        <w:t>4. Alkali Compatible:</w:t>
      </w:r>
      <w:r>
        <w:rPr>
          <w:rFonts w:ascii="Arial" w:hAnsi="Arial"/>
          <w:color w:val="333333"/>
          <w:sz w:val="20"/>
        </w:rPr>
        <w:t xml:space="preserve"> Performs efficiently in alkaline conditions, making it suitable for continuous and batch dyeing processes.</w:t>
      </w:r>
    </w:p>
    <w:p/>
    <w:p>
      <w:pPr>
        <w:spacing w:before="280" w:after="80"/>
        <w:pBdr>
          <w:bottom w:val="single" w:sz="6" w:space="1" w:color="0057B8"/>
        </w:pBdr>
      </w:pPr>
      <w:r>
        <w:rPr>
          <w:rFonts w:ascii="Arial" w:hAnsi="Arial"/>
          <w:b/>
          <w:color w:val="0057B8"/>
          <w:sz w:val="24"/>
        </w:rPr>
        <w:t>Properties:</w:t>
      </w:r>
    </w:p>
    <w:tbl>
      <w:tblPr>
        <w:tblStyle w:val="TableGrid"/>
        <w:tblW w:type="auto" w:w="0"/>
        <w:tblLook w:firstColumn="1" w:firstRow="1" w:lastColumn="0" w:lastRow="0" w:noHBand="0" w:noVBand="1" w:val="04A0"/>
      </w:tblPr>
      <w:tblGrid>
        <w:gridCol w:w="4514"/>
        <w:gridCol w:w="4514"/>
      </w:tblGrid>
      <w:tr>
        <w:tc>
          <w:tcPr>
            <w:tcW w:type="dxa" w:w="3600"/>
            <w:shd w:val="clear" w:color="auto" w:fill="E8EEF6"/>
          </w:tcPr>
          <w:p>
            <w:pPr>
              <w:spacing w:after="40"/>
            </w:pPr>
            <w:r>
              <w:rPr>
                <w:rFonts w:ascii="Arial" w:hAnsi="Arial"/>
                <w:b/>
                <w:sz w:val="19"/>
              </w:rPr>
              <w:t>Chemical Constitution</w:t>
            </w:r>
          </w:p>
        </w:tc>
        <w:tc>
          <w:tcPr>
            <w:tcW w:type="dxa" w:w="6480"/>
            <w:shd w:val="clear" w:color="auto" w:fill="F2F2F2"/>
          </w:tcPr>
          <w:p>
            <w:pPr>
              <w:spacing w:after="40"/>
            </w:pPr>
            <w:r>
              <w:rPr>
                <w:rFonts w:ascii="Arial" w:hAnsi="Arial"/>
                <w:sz w:val="19"/>
              </w:rPr>
              <w:t>Aqueous preparation of inorganic salts</w:t>
            </w:r>
          </w:p>
        </w:tc>
      </w:tr>
      <w:tr>
        <w:tc>
          <w:tcPr>
            <w:tcW w:type="dxa" w:w="3600"/>
            <w:shd w:val="clear" w:color="auto" w:fill="E8EEF6"/>
          </w:tcPr>
          <w:p>
            <w:pPr>
              <w:spacing w:after="40"/>
            </w:pPr>
            <w:r>
              <w:rPr>
                <w:rFonts w:ascii="Arial" w:hAnsi="Arial"/>
                <w:b/>
                <w:sz w:val="19"/>
              </w:rPr>
              <w:t>Ionic Character</w:t>
            </w:r>
          </w:p>
        </w:tc>
        <w:tc>
          <w:tcPr>
            <w:tcW w:type="dxa" w:w="6480"/>
            <w:shd w:val="clear" w:color="auto" w:fill="FFFFFF"/>
          </w:tcPr>
          <w:p>
            <w:pPr>
              <w:spacing w:after="40"/>
            </w:pPr>
            <w:r>
              <w:rPr>
                <w:rFonts w:ascii="Arial" w:hAnsi="Arial"/>
                <w:sz w:val="19"/>
              </w:rPr>
              <w:t>Non-ionic</w:t>
            </w:r>
          </w:p>
        </w:tc>
      </w:tr>
      <w:tr>
        <w:tc>
          <w:tcPr>
            <w:tcW w:type="dxa" w:w="3600"/>
            <w:shd w:val="clear" w:color="auto" w:fill="E8EEF6"/>
          </w:tcPr>
          <w:p>
            <w:pPr>
              <w:spacing w:after="40"/>
            </w:pPr>
            <w:r>
              <w:rPr>
                <w:rFonts w:ascii="Arial" w:hAnsi="Arial"/>
                <w:b/>
                <w:sz w:val="19"/>
              </w:rPr>
              <w:t>pH</w:t>
            </w:r>
          </w:p>
        </w:tc>
        <w:tc>
          <w:tcPr>
            <w:tcW w:type="dxa" w:w="6480"/>
            <w:shd w:val="clear" w:color="auto" w:fill="F2F2F2"/>
          </w:tcPr>
          <w:p>
            <w:pPr>
              <w:spacing w:after="40"/>
            </w:pPr>
            <w:r>
              <w:rPr>
                <w:rFonts w:ascii="Arial" w:hAnsi="Arial"/>
                <w:sz w:val="19"/>
              </w:rPr>
              <w:t>6 – 8</w:t>
            </w:r>
          </w:p>
        </w:tc>
      </w:tr>
      <w:tr>
        <w:tc>
          <w:tcPr>
            <w:tcW w:type="dxa" w:w="3600"/>
            <w:shd w:val="clear" w:color="auto" w:fill="E8EEF6"/>
          </w:tcPr>
          <w:p>
            <w:pPr>
              <w:spacing w:after="40"/>
            </w:pPr>
            <w:r>
              <w:rPr>
                <w:rFonts w:ascii="Arial" w:hAnsi="Arial"/>
                <w:b/>
                <w:sz w:val="19"/>
              </w:rPr>
              <w:t>Specific Gravity at 20°C</w:t>
            </w:r>
          </w:p>
        </w:tc>
        <w:tc>
          <w:tcPr>
            <w:tcW w:type="dxa" w:w="6480"/>
            <w:shd w:val="clear" w:color="auto" w:fill="FFFFFF"/>
          </w:tcPr>
          <w:p>
            <w:pPr>
              <w:spacing w:after="40"/>
            </w:pPr>
            <w:r>
              <w:rPr>
                <w:rFonts w:ascii="Arial" w:hAnsi="Arial"/>
                <w:sz w:val="19"/>
              </w:rPr>
              <w:t>1.0 to 1.2 gm/cc</w:t>
            </w:r>
          </w:p>
        </w:tc>
      </w:tr>
      <w:tr>
        <w:tc>
          <w:tcPr>
            <w:tcW w:type="dxa" w:w="3600"/>
            <w:shd w:val="clear" w:color="auto" w:fill="E8EEF6"/>
          </w:tcPr>
          <w:p>
            <w:pPr>
              <w:spacing w:after="40"/>
            </w:pPr>
            <w:r>
              <w:rPr>
                <w:rFonts w:ascii="Arial" w:hAnsi="Arial"/>
                <w:b/>
                <w:sz w:val="19"/>
              </w:rPr>
              <w:t>Physical Form</w:t>
            </w:r>
          </w:p>
        </w:tc>
        <w:tc>
          <w:tcPr>
            <w:tcW w:type="dxa" w:w="6480"/>
            <w:shd w:val="clear" w:color="auto" w:fill="F2F2F2"/>
          </w:tcPr>
          <w:p>
            <w:pPr>
              <w:spacing w:after="40"/>
            </w:pPr>
            <w:r>
              <w:rPr>
                <w:rFonts w:ascii="Arial" w:hAnsi="Arial"/>
                <w:sz w:val="19"/>
              </w:rPr>
              <w:t>Clear to slightly hazy liquid</w:t>
            </w:r>
          </w:p>
        </w:tc>
      </w:tr>
      <w:tr>
        <w:tc>
          <w:tcPr>
            <w:tcW w:type="dxa" w:w="3600"/>
            <w:shd w:val="clear" w:color="auto" w:fill="E8EEF6"/>
          </w:tcPr>
          <w:p>
            <w:pPr>
              <w:spacing w:after="40"/>
            </w:pPr>
            <w:r>
              <w:rPr>
                <w:rFonts w:ascii="Arial" w:hAnsi="Arial"/>
                <w:b/>
                <w:sz w:val="19"/>
              </w:rPr>
              <w:t>Storage Stability</w:t>
            </w:r>
          </w:p>
        </w:tc>
        <w:tc>
          <w:tcPr>
            <w:tcW w:type="dxa" w:w="6480"/>
            <w:shd w:val="clear" w:color="auto" w:fill="FFFFFF"/>
          </w:tcPr>
          <w:p>
            <w:pPr>
              <w:spacing w:after="40"/>
            </w:pPr>
            <w:r>
              <w:rPr>
                <w:rFonts w:ascii="Arial" w:hAnsi="Arial"/>
                <w:sz w:val="19"/>
              </w:rPr>
              <w:t>Stable for 1 year at 20°C; sensitive above 50°C and below 0°C</w:t>
            </w:r>
          </w:p>
        </w:tc>
      </w:tr>
      <w:tr>
        <w:tc>
          <w:tcPr>
            <w:tcW w:type="dxa" w:w="3600"/>
            <w:shd w:val="clear" w:color="auto" w:fill="E8EEF6"/>
          </w:tcPr>
          <w:p>
            <w:pPr>
              <w:spacing w:after="40"/>
            </w:pPr>
            <w:r>
              <w:rPr>
                <w:rFonts w:ascii="Arial" w:hAnsi="Arial"/>
                <w:b/>
                <w:sz w:val="19"/>
              </w:rPr>
              <w:t>Stability to Alkalis</w:t>
            </w:r>
          </w:p>
        </w:tc>
        <w:tc>
          <w:tcPr>
            <w:tcW w:type="dxa" w:w="6480"/>
            <w:shd w:val="clear" w:color="auto" w:fill="F2F2F2"/>
          </w:tcPr>
          <w:p>
            <w:pPr>
              <w:spacing w:after="40"/>
            </w:pPr>
            <w:r>
              <w:rPr>
                <w:rFonts w:ascii="Arial" w:hAnsi="Arial"/>
                <w:sz w:val="19"/>
              </w:rPr>
              <w:t>Good</w:t>
            </w:r>
          </w:p>
        </w:tc>
      </w:tr>
      <w:tr>
        <w:tc>
          <w:tcPr>
            <w:tcW w:type="dxa" w:w="3600"/>
            <w:shd w:val="clear" w:color="auto" w:fill="E8EEF6"/>
          </w:tcPr>
          <w:p>
            <w:pPr>
              <w:spacing w:after="40"/>
            </w:pPr>
            <w:r>
              <w:rPr>
                <w:rFonts w:ascii="Arial" w:hAnsi="Arial"/>
                <w:b/>
                <w:sz w:val="19"/>
              </w:rPr>
              <w:t>Stability to Acids</w:t>
            </w:r>
          </w:p>
        </w:tc>
        <w:tc>
          <w:tcPr>
            <w:tcW w:type="dxa" w:w="6480"/>
            <w:shd w:val="clear" w:color="auto" w:fill="FFFFFF"/>
          </w:tcPr>
          <w:p>
            <w:pPr>
              <w:spacing w:after="40"/>
            </w:pPr>
            <w:r>
              <w:rPr>
                <w:rFonts w:ascii="Arial" w:hAnsi="Arial"/>
                <w:sz w:val="19"/>
              </w:rPr>
              <w:t>Good</w:t>
            </w:r>
          </w:p>
        </w:tc>
      </w:tr>
      <w:tr>
        <w:tc>
          <w:tcPr>
            <w:tcW w:type="dxa" w:w="3600"/>
            <w:shd w:val="clear" w:color="auto" w:fill="E8EEF6"/>
          </w:tcPr>
          <w:p>
            <w:pPr>
              <w:spacing w:after="40"/>
            </w:pPr>
            <w:r>
              <w:rPr>
                <w:rFonts w:ascii="Arial" w:hAnsi="Arial"/>
                <w:b/>
                <w:sz w:val="19"/>
              </w:rPr>
              <w:t>Stability to Oxidants</w:t>
            </w:r>
          </w:p>
        </w:tc>
        <w:tc>
          <w:tcPr>
            <w:tcW w:type="dxa" w:w="6480"/>
            <w:shd w:val="clear" w:color="auto" w:fill="F2F2F2"/>
          </w:tcPr>
          <w:p>
            <w:pPr>
              <w:spacing w:after="40"/>
            </w:pPr>
            <w:r>
              <w:rPr>
                <w:rFonts w:ascii="Arial" w:hAnsi="Arial"/>
                <w:sz w:val="19"/>
              </w:rPr>
              <w:t>Good</w:t>
            </w:r>
          </w:p>
        </w:tc>
      </w:tr>
    </w:tbl>
    <w:p/>
    <w:p>
      <w:pPr>
        <w:spacing w:before="280" w:after="80"/>
        <w:pBdr>
          <w:bottom w:val="single" w:sz="6" w:space="1" w:color="0057B8"/>
        </w:pBdr>
      </w:pPr>
      <w:r>
        <w:rPr>
          <w:rFonts w:ascii="Arial" w:hAnsi="Arial"/>
          <w:b/>
          <w:color w:val="0057B8"/>
          <w:sz w:val="24"/>
        </w:rPr>
        <w:t>Applications &amp; Dosage:</w:t>
      </w:r>
    </w:p>
    <w:p>
      <w:pPr>
        <w:spacing w:after="120"/>
      </w:pPr>
      <w:r>
        <w:rPr>
          <w:rFonts w:ascii="Arial" w:hAnsi="Arial"/>
          <w:color w:val="333333"/>
          <w:sz w:val="20"/>
        </w:rPr>
        <w:t>Zetakill PN can be applied using two methods depending on the dyeing process requirements:</w:t>
      </w:r>
    </w:p>
    <w:p>
      <w:pPr>
        <w:spacing w:after="80"/>
      </w:pPr>
      <w:r>
        <w:rPr>
          <w:rFonts w:ascii="Arial" w:hAnsi="Arial"/>
          <w:b/>
          <w:sz w:val="20"/>
        </w:rPr>
        <w:t>Method 1 — Post-bleach bath / Dye bath (Dosage: 0.3%–0.5% owf):</w:t>
      </w:r>
    </w:p>
    <w:p>
      <w:pPr>
        <w:spacing w:after="80"/>
        <w:ind w:left="360"/>
      </w:pPr>
      <w:r>
        <w:rPr>
          <w:rFonts w:ascii="Arial" w:hAnsi="Arial"/>
          <w:color w:val="333333"/>
          <w:sz w:val="20"/>
        </w:rPr>
        <w:t>Add Zetakill PN to the post-bleach bath during the subsequent hot wash, or directly into the dye bath before dye addition.</w:t>
      </w:r>
    </w:p>
    <w:p/>
    <w:p>
      <w:pPr>
        <w:spacing w:after="80"/>
      </w:pPr>
      <w:r>
        <w:rPr>
          <w:rFonts w:ascii="Arial" w:hAnsi="Arial"/>
          <w:b/>
          <w:sz w:val="20"/>
        </w:rPr>
        <w:t>Method 2 — Direct addition into peroxide bleach bath (Dosage: 1.0%–2.0%):</w:t>
      </w:r>
    </w:p>
    <w:p>
      <w:pPr>
        <w:spacing w:after="80"/>
        <w:ind w:left="360"/>
      </w:pPr>
      <w:r>
        <w:rPr>
          <w:rFonts w:ascii="Arial" w:hAnsi="Arial"/>
          <w:color w:val="333333"/>
          <w:sz w:val="20"/>
        </w:rPr>
        <w:t>Dose Zetakill PN directly into the peroxide bleach bath at the end of the holding time.</w:t>
      </w:r>
    </w:p>
    <w:p>
      <w:pPr>
        <w:spacing w:after="80"/>
        <w:ind w:left="360"/>
      </w:pPr>
      <w:r>
        <w:rPr>
          <w:rFonts w:ascii="Arial" w:hAnsi="Arial"/>
          <w:color w:val="333333"/>
          <w:sz w:val="20"/>
        </w:rPr>
        <w:t>Continue running the bath for 20 minutes at a temperature above 70°C.</w:t>
      </w:r>
    </w:p>
    <w:p>
      <w:pPr>
        <w:spacing w:after="80"/>
        <w:ind w:left="360"/>
      </w:pPr>
      <w:r>
        <w:rPr>
          <w:rFonts w:ascii="Arial" w:hAnsi="Arial"/>
          <w:color w:val="333333"/>
          <w:sz w:val="20"/>
        </w:rPr>
        <w:t>Follow with hot neutralisation in a fresh bath.</w:t>
      </w:r>
    </w:p>
    <w:p>
      <w:pPr>
        <w:spacing w:after="80"/>
        <w:ind w:left="360"/>
      </w:pPr>
      <w:r>
        <w:rPr>
          <w:rFonts w:ascii="Arial" w:hAnsi="Arial"/>
          <w:color w:val="333333"/>
          <w:sz w:val="20"/>
        </w:rPr>
        <w:t>Dyeing can then proceed in the next step without the need for intermediate rinses.</w:t>
      </w:r>
    </w:p>
    <w:p/>
    <w:p>
      <w:pPr>
        <w:spacing w:before="160"/>
        <w:pBdr>
          <w:top w:val="single" w:sz="4" w:space="1" w:color="CCCCCC"/>
        </w:pBdr>
      </w:pPr>
      <w:r>
        <w:rPr>
          <w:rFonts w:ascii="Arial" w:hAnsi="Arial"/>
          <w:b/>
          <w:color w:val="555555"/>
          <w:sz w:val="16"/>
        </w:rPr>
        <w:t xml:space="preserve">Disclaimer: </w:t>
      </w:r>
      <w:r>
        <w:rPr>
          <w:rFonts w:ascii="Arial" w:hAnsi="Arial"/>
          <w:color w:val="666666"/>
          <w:sz w:val="16"/>
        </w:rPr>
        <w:t>Biochem Technologies retains the right to alter product and technical information. We assure that our products will meet Biochem Technologies’ specifications, with our liability limited to product replacement. The information provided in this datasheet serves as a guideline, believed to be accurate. Users are advised to assess recommendations before actual application. Safety Data Sheet (SDS) is available upon request.</w:t>
      </w:r>
    </w:p>
    <w:sectPr w:rsidR="00FC693F" w:rsidRPr="0006063C" w:rsidSect="00034616">
      <w:headerReference w:type="default" r:id="rId9"/>
      <w:footerReference w:type="default" r:id="rId10"/>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Biochem Technologies  |  www.biochemtechnologies.com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4514"/>
      <w:gridCol w:w="4514"/>
    </w:tblGrid>
    <w:tr>
      <w:tc>
        <w:tcPr>
          <w:tcW w:type="dxa" w:w="5040"/>
        </w:tcPr>
        <w:p>
          <w:r>
            <w:rPr>
              <w:rFonts w:ascii="Arial" w:hAnsi="Arial"/>
              <w:b/>
              <w:color w:val="888888"/>
              <w:sz w:val="16"/>
            </w:rPr>
            <w:t>TECHNICAL DATA SHEET</w:t>
          </w:r>
        </w:p>
      </w:tc>
      <w:tc>
        <w:tcPr>
          <w:tcW w:type="dxa" w:w="3989"/>
        </w:tcPr>
        <w:p>
          <w:pPr>
            <w:jc w:val="right"/>
          </w:pPr>
          <w:r>
            <w:drawing>
              <wp:inline xmlns:a="http://schemas.openxmlformats.org/drawingml/2006/main" xmlns:pic="http://schemas.openxmlformats.org/drawingml/2006/picture">
                <wp:extent cx="1280160" cy="478669"/>
                <wp:docPr id="1" name="Picture 1"/>
                <wp:cNvGraphicFramePr>
                  <a:graphicFrameLocks noChangeAspect="1"/>
                </wp:cNvGraphicFramePr>
                <a:graphic>
                  <a:graphicData uri="http://schemas.openxmlformats.org/drawingml/2006/picture">
                    <pic:pic>
                      <pic:nvPicPr>
                        <pic:cNvPr id="0" name="biochem_logo.png"/>
                        <pic:cNvPicPr/>
                      </pic:nvPicPr>
                      <pic:blipFill>
                        <a:blip r:embed="rId1"/>
                        <a:stretch>
                          <a:fillRect/>
                        </a:stretch>
                      </pic:blipFill>
                      <pic:spPr>
                        <a:xfrm>
                          <a:off x="0" y="0"/>
                          <a:ext cx="1280160" cy="478669"/>
                        </a:xfrm>
                        <a:prstGeom prst="rect"/>
                      </pic:spPr>
                    </pic:pic>
                  </a:graphicData>
                </a:graphic>
              </wp:inline>
            </w:drawing>
          </w:r>
        </w:p>
      </w:tc>
    </w:tr>
  </w:tbl>
  <w:p>
    <w:pPr>
      <w:pBdr>
        <w:bottom w:val="single" w:sz="12" w:space="1" w:color="0057B8"/>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