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pPr>
      <w:r>
        <w:rPr>
          <w:rFonts w:ascii="Arial" w:hAnsi="Arial"/>
          <w:b/>
          <w:color w:val="0057B8"/>
          <w:sz w:val="44"/>
        </w:rPr>
        <w:t>ZETAWET SWLF CONC</w:t>
      </w:r>
    </w:p>
    <w:p>
      <w:pPr>
        <w:spacing w:after="320"/>
      </w:pPr>
      <w:r>
        <w:rPr>
          <w:rFonts w:ascii="Arial" w:hAnsi="Arial"/>
          <w:color w:val="555555"/>
          <w:sz w:val="20"/>
        </w:rPr>
        <w:t>WETTING &amp; RE-WETTING AGENT</w:t>
      </w:r>
    </w:p>
    <w:p>
      <w:pPr>
        <w:spacing w:after="240"/>
        <w:pBdr>
          <w:bottom w:val="single" w:sz="4" w:space="1" w:color="CCCCCC"/>
        </w:pBdr>
      </w:pPr>
    </w:p>
    <w:p>
      <w:pPr>
        <w:spacing w:before="280" w:after="80"/>
        <w:pBdr>
          <w:bottom w:val="single" w:sz="6" w:space="1" w:color="0057B8"/>
        </w:pBdr>
      </w:pPr>
      <w:r>
        <w:rPr>
          <w:rFonts w:ascii="Arial" w:hAnsi="Arial"/>
          <w:b/>
          <w:color w:val="0057B8"/>
          <w:sz w:val="24"/>
        </w:rPr>
        <w:t>Product Description:</w:t>
      </w:r>
    </w:p>
    <w:p>
      <w:pPr>
        <w:spacing w:after="120"/>
      </w:pPr>
      <w:r>
        <w:rPr>
          <w:rFonts w:ascii="Arial" w:hAnsi="Arial"/>
          <w:color w:val="333333"/>
          <w:sz w:val="20"/>
        </w:rPr>
        <w:t>Zetawet SWLF CONC emerges as a breakthrough in textile treatment, offering a revolutionary solution for fabric pre-treatment. This highly efficient re-wetting agent and detergent boasts exceptional qualities, making it an ideal choice for exhaust, semi-continuous, and continuous processing of cellulosic and synthetic fibres. Notably, it enhances fabric hydrophilicity, ensuring optimal absorption for subsequent dyeing and printing processes. Moreover, its shear-stable nature guarantees seamless performance without the risk of separation. This APEO-free formulation prioritises environmental sustainability while delivering outstanding bio-elimination properties. Its pumpable liquid form ensures effortless handling, while its compatibility with alpha-amylase enzymes, oxidative bleaching agents, alkalis, and acids underscores its versatility and reliability in textile treatment.</w:t>
      </w:r>
    </w:p>
    <w:p>
      <w:pPr>
        <w:spacing w:before="280" w:after="80"/>
        <w:pBdr>
          <w:bottom w:val="single" w:sz="6" w:space="1" w:color="0057B8"/>
        </w:pBdr>
      </w:pPr>
      <w:r>
        <w:rPr>
          <w:rFonts w:ascii="Arial" w:hAnsi="Arial"/>
          <w:b/>
          <w:color w:val="0057B8"/>
          <w:sz w:val="24"/>
        </w:rPr>
        <w:t>Key Benefits:</w:t>
      </w:r>
    </w:p>
    <w:p>
      <w:pPr>
        <w:spacing w:after="80"/>
        <w:ind w:left="360"/>
      </w:pPr>
      <w:r>
        <w:rPr>
          <w:rFonts w:ascii="Arial" w:hAnsi="Arial"/>
          <w:b/>
          <w:sz w:val="20"/>
        </w:rPr>
        <w:t>1. Enhanced Hydrophilicity:</w:t>
      </w:r>
      <w:r>
        <w:rPr>
          <w:rFonts w:ascii="Arial" w:hAnsi="Arial"/>
          <w:color w:val="333333"/>
          <w:sz w:val="20"/>
        </w:rPr>
        <w:t xml:space="preserve"> Facilitates optimal absorption for dyeing and printing, ensuring consistent results and increased reproducibility.</w:t>
      </w:r>
    </w:p>
    <w:p>
      <w:pPr>
        <w:spacing w:after="80"/>
        <w:ind w:left="360"/>
      </w:pPr>
      <w:r>
        <w:rPr>
          <w:rFonts w:ascii="Arial" w:hAnsi="Arial"/>
          <w:b/>
          <w:sz w:val="20"/>
        </w:rPr>
        <w:t>2. Powerful Emulsification:</w:t>
      </w:r>
      <w:r>
        <w:rPr>
          <w:rFonts w:ascii="Arial" w:hAnsi="Arial"/>
          <w:color w:val="333333"/>
          <w:sz w:val="20"/>
        </w:rPr>
        <w:t xml:space="preserve"> Effectively removes oily, greasy impurities, and soil particles, maintaining fabric cleanliness.</w:t>
      </w:r>
    </w:p>
    <w:p>
      <w:pPr>
        <w:spacing w:after="80"/>
        <w:ind w:left="360"/>
      </w:pPr>
      <w:r>
        <w:rPr>
          <w:rFonts w:ascii="Arial" w:hAnsi="Arial"/>
          <w:b/>
          <w:sz w:val="20"/>
        </w:rPr>
        <w:t>3. Versatile Compatibility:</w:t>
      </w:r>
      <w:r>
        <w:rPr>
          <w:rFonts w:ascii="Arial" w:hAnsi="Arial"/>
          <w:color w:val="333333"/>
          <w:sz w:val="20"/>
        </w:rPr>
        <w:t xml:space="preserve"> Resistant to oxidative and reductive bleaching agents, stable with alkalis, acids, and enzyme-compatible.</w:t>
      </w:r>
    </w:p>
    <w:p>
      <w:pPr>
        <w:spacing w:after="80"/>
        <w:ind w:left="360"/>
      </w:pPr>
      <w:r>
        <w:rPr>
          <w:rFonts w:ascii="Arial" w:hAnsi="Arial"/>
          <w:b/>
          <w:sz w:val="20"/>
        </w:rPr>
        <w:t>4. Efficient Wetting and Re-wetting:</w:t>
      </w:r>
      <w:r>
        <w:rPr>
          <w:rFonts w:ascii="Arial" w:hAnsi="Arial"/>
          <w:color w:val="333333"/>
          <w:sz w:val="20"/>
        </w:rPr>
        <w:t xml:space="preserve"> Strong properties enable low dosage usage, reducing storage needs and manual handling efforts.</w:t>
      </w:r>
    </w:p>
    <w:p>
      <w:pPr>
        <w:spacing w:after="80"/>
        <w:ind w:left="360"/>
      </w:pPr>
      <w:r>
        <w:rPr>
          <w:rFonts w:ascii="Arial" w:hAnsi="Arial"/>
          <w:b/>
          <w:sz w:val="20"/>
        </w:rPr>
        <w:t>5. Padding Application:</w:t>
      </w:r>
      <w:r>
        <w:rPr>
          <w:rFonts w:ascii="Arial" w:hAnsi="Arial"/>
          <w:color w:val="333333"/>
          <w:sz w:val="20"/>
        </w:rPr>
        <w:t xml:space="preserve"> Ideal for heat setting processes, especially for elastane/spandex blends, offering versatility in fibre types.</w:t>
      </w:r>
    </w:p>
    <w:p>
      <w:pPr>
        <w:spacing w:after="80"/>
        <w:ind w:left="360"/>
      </w:pPr>
      <w:r>
        <w:rPr>
          <w:rFonts w:ascii="Arial" w:hAnsi="Arial"/>
          <w:b/>
          <w:sz w:val="20"/>
        </w:rPr>
        <w:t>6. Convenient Formulation:</w:t>
      </w:r>
      <w:r>
        <w:rPr>
          <w:rFonts w:ascii="Arial" w:hAnsi="Arial"/>
          <w:color w:val="333333"/>
          <w:sz w:val="20"/>
        </w:rPr>
        <w:t xml:space="preserve"> Liquid pumpable design facilitates easy handling and automatic dispensing, suitable for high turbulence machines.</w:t>
      </w:r>
    </w:p>
    <w:p/>
    <w:p>
      <w:pPr>
        <w:spacing w:before="280" w:after="80"/>
        <w:pBdr>
          <w:bottom w:val="single" w:sz="6" w:space="1" w:color="0057B8"/>
        </w:pBdr>
      </w:pPr>
      <w:r>
        <w:rPr>
          <w:rFonts w:ascii="Arial" w:hAnsi="Arial"/>
          <w:b/>
          <w:color w:val="0057B8"/>
          <w:sz w:val="24"/>
        </w:rPr>
        <w:t>Properties:</w:t>
      </w:r>
    </w:p>
    <w:tbl>
      <w:tblPr>
        <w:tblStyle w:val="TableGrid"/>
        <w:tblW w:type="auto" w:w="0"/>
        <w:jc w:val="left"/>
        <w:tblLook w:firstColumn="1" w:firstRow="1" w:lastColumn="0" w:lastRow="0" w:noHBand="0" w:noVBand="1" w:val="04A0"/>
      </w:tblPr>
      <w:tblGrid>
        <w:gridCol w:w="4514"/>
        <w:gridCol w:w="4514"/>
      </w:tblGrid>
      <w:tr>
        <w:tc>
          <w:tcPr>
            <w:tcW w:type="dxa" w:w="3600"/>
            <w:shd w:val="clear" w:color="auto" w:fill="E8EEF6"/>
          </w:tcPr>
          <w:p>
            <w:pPr>
              <w:spacing w:after="40"/>
            </w:pPr>
            <w:r>
              <w:rPr>
                <w:rFonts w:ascii="Arial" w:hAnsi="Arial"/>
                <w:b/>
                <w:sz w:val="19"/>
              </w:rPr>
              <w:t>Chemical Constitution</w:t>
            </w:r>
          </w:p>
        </w:tc>
        <w:tc>
          <w:tcPr>
            <w:tcW w:type="dxa" w:w="6480"/>
            <w:shd w:val="clear" w:color="auto" w:fill="F2F2F2"/>
          </w:tcPr>
          <w:p>
            <w:pPr>
              <w:spacing w:after="40"/>
            </w:pPr>
            <w:r>
              <w:rPr>
                <w:rFonts w:ascii="Arial" w:hAnsi="Arial"/>
                <w:sz w:val="19"/>
              </w:rPr>
              <w:t>Formulated with fatty alcohol ethoxylate based surfactants</w:t>
            </w:r>
          </w:p>
        </w:tc>
      </w:tr>
      <w:tr>
        <w:tc>
          <w:tcPr>
            <w:tcW w:type="dxa" w:w="3600"/>
            <w:shd w:val="clear" w:color="auto" w:fill="E8EEF6"/>
          </w:tcPr>
          <w:p>
            <w:pPr>
              <w:spacing w:after="40"/>
            </w:pPr>
            <w:r>
              <w:rPr>
                <w:rFonts w:ascii="Arial" w:hAnsi="Arial"/>
                <w:b/>
                <w:sz w:val="19"/>
              </w:rPr>
              <w:t>Ionic Character</w:t>
            </w:r>
          </w:p>
        </w:tc>
        <w:tc>
          <w:tcPr>
            <w:tcW w:type="dxa" w:w="6480"/>
            <w:shd w:val="clear" w:color="auto" w:fill="FFFFFF"/>
          </w:tcPr>
          <w:p>
            <w:pPr>
              <w:spacing w:after="40"/>
            </w:pPr>
            <w:r>
              <w:rPr>
                <w:rFonts w:ascii="Arial" w:hAnsi="Arial"/>
                <w:sz w:val="19"/>
              </w:rPr>
              <w:t>Non-ionic</w:t>
            </w:r>
          </w:p>
        </w:tc>
      </w:tr>
      <w:tr>
        <w:tc>
          <w:tcPr>
            <w:tcW w:type="dxa" w:w="3600"/>
            <w:shd w:val="clear" w:color="auto" w:fill="E8EEF6"/>
          </w:tcPr>
          <w:p>
            <w:pPr>
              <w:spacing w:after="40"/>
            </w:pPr>
            <w:r>
              <w:rPr>
                <w:rFonts w:ascii="Arial" w:hAnsi="Arial"/>
                <w:b/>
                <w:sz w:val="19"/>
              </w:rPr>
              <w:t>pH of 1% solution</w:t>
            </w:r>
          </w:p>
        </w:tc>
        <w:tc>
          <w:tcPr>
            <w:tcW w:type="dxa" w:w="6480"/>
            <w:shd w:val="clear" w:color="auto" w:fill="F2F2F2"/>
          </w:tcPr>
          <w:p>
            <w:pPr>
              <w:spacing w:after="40"/>
            </w:pPr>
            <w:r>
              <w:rPr>
                <w:rFonts w:ascii="Arial" w:hAnsi="Arial"/>
                <w:sz w:val="19"/>
              </w:rPr>
              <w:t>Approx. 6 to 7</w:t>
            </w:r>
          </w:p>
        </w:tc>
      </w:tr>
      <w:tr>
        <w:tc>
          <w:tcPr>
            <w:tcW w:type="dxa" w:w="3600"/>
            <w:shd w:val="clear" w:color="auto" w:fill="E8EEF6"/>
          </w:tcPr>
          <w:p>
            <w:pPr>
              <w:spacing w:after="40"/>
            </w:pPr>
            <w:r>
              <w:rPr>
                <w:rFonts w:ascii="Arial" w:hAnsi="Arial"/>
                <w:b/>
                <w:sz w:val="19"/>
              </w:rPr>
              <w:t>Specific Gravity at 20°C</w:t>
            </w:r>
          </w:p>
        </w:tc>
        <w:tc>
          <w:tcPr>
            <w:tcW w:type="dxa" w:w="6480"/>
            <w:shd w:val="clear" w:color="auto" w:fill="FFFFFF"/>
          </w:tcPr>
          <w:p>
            <w:pPr>
              <w:spacing w:after="40"/>
            </w:pPr>
            <w:r>
              <w:rPr>
                <w:rFonts w:ascii="Arial" w:hAnsi="Arial"/>
                <w:sz w:val="19"/>
              </w:rPr>
              <w:t>Approx. 1 gm/cc to 1.5 gm/cc</w:t>
            </w:r>
          </w:p>
        </w:tc>
      </w:tr>
      <w:tr>
        <w:tc>
          <w:tcPr>
            <w:tcW w:type="dxa" w:w="3600"/>
            <w:shd w:val="clear" w:color="auto" w:fill="E8EEF6"/>
          </w:tcPr>
          <w:p>
            <w:pPr>
              <w:spacing w:after="40"/>
            </w:pPr>
            <w:r>
              <w:rPr>
                <w:rFonts w:ascii="Arial" w:hAnsi="Arial"/>
                <w:b/>
                <w:sz w:val="19"/>
              </w:rPr>
              <w:t>Physical Form</w:t>
            </w:r>
          </w:p>
        </w:tc>
        <w:tc>
          <w:tcPr>
            <w:tcW w:type="dxa" w:w="6480"/>
            <w:shd w:val="clear" w:color="auto" w:fill="F2F2F2"/>
          </w:tcPr>
          <w:p>
            <w:pPr>
              <w:spacing w:after="40"/>
            </w:pPr>
            <w:r>
              <w:rPr>
                <w:rFonts w:ascii="Arial" w:hAnsi="Arial"/>
                <w:sz w:val="19"/>
              </w:rPr>
              <w:t>Liquid</w:t>
            </w:r>
          </w:p>
        </w:tc>
      </w:tr>
      <w:tr>
        <w:tc>
          <w:tcPr>
            <w:tcW w:type="dxa" w:w="3600"/>
            <w:shd w:val="clear" w:color="auto" w:fill="E8EEF6"/>
          </w:tcPr>
          <w:p>
            <w:pPr>
              <w:spacing w:after="40"/>
            </w:pPr>
            <w:r>
              <w:rPr>
                <w:rFonts w:ascii="Arial" w:hAnsi="Arial"/>
                <w:b/>
                <w:sz w:val="19"/>
              </w:rPr>
              <w:t>Storage Stability</w:t>
            </w:r>
          </w:p>
        </w:tc>
        <w:tc>
          <w:tcPr>
            <w:tcW w:type="dxa" w:w="6480"/>
            <w:shd w:val="clear" w:color="auto" w:fill="FFFFFF"/>
          </w:tcPr>
          <w:p>
            <w:pPr>
              <w:spacing w:after="40"/>
            </w:pPr>
            <w:r>
              <w:rPr>
                <w:rFonts w:ascii="Arial" w:hAnsi="Arial"/>
                <w:sz w:val="19"/>
              </w:rPr>
              <w:t>Stable for 1 year at 20°C; sensitive above 50°C and below 0°C</w:t>
            </w:r>
          </w:p>
        </w:tc>
      </w:tr>
      <w:tr>
        <w:tc>
          <w:tcPr>
            <w:tcW w:type="dxa" w:w="3600"/>
            <w:shd w:val="clear" w:color="auto" w:fill="E8EEF6"/>
          </w:tcPr>
          <w:p>
            <w:pPr>
              <w:spacing w:after="40"/>
            </w:pPr>
            <w:r>
              <w:rPr>
                <w:rFonts w:ascii="Arial" w:hAnsi="Arial"/>
                <w:b/>
                <w:sz w:val="19"/>
              </w:rPr>
              <w:t>Stability to Alkalis</w:t>
            </w:r>
          </w:p>
        </w:tc>
        <w:tc>
          <w:tcPr>
            <w:tcW w:type="dxa" w:w="6480"/>
            <w:shd w:val="clear" w:color="auto" w:fill="F2F2F2"/>
          </w:tcPr>
          <w:p>
            <w:pPr>
              <w:spacing w:after="40"/>
            </w:pPr>
            <w:r>
              <w:rPr>
                <w:rFonts w:ascii="Arial" w:hAnsi="Arial"/>
                <w:sz w:val="19"/>
              </w:rPr>
              <w:t>Very Good</w:t>
            </w:r>
          </w:p>
        </w:tc>
      </w:tr>
      <w:tr>
        <w:tc>
          <w:tcPr>
            <w:tcW w:type="dxa" w:w="3600"/>
            <w:shd w:val="clear" w:color="auto" w:fill="E8EEF6"/>
          </w:tcPr>
          <w:p>
            <w:pPr>
              <w:spacing w:after="40"/>
            </w:pPr>
            <w:r>
              <w:rPr>
                <w:rFonts w:ascii="Arial" w:hAnsi="Arial"/>
                <w:b/>
                <w:sz w:val="19"/>
              </w:rPr>
              <w:t>Stability to Acids</w:t>
            </w:r>
          </w:p>
        </w:tc>
        <w:tc>
          <w:tcPr>
            <w:tcW w:type="dxa" w:w="6480"/>
            <w:shd w:val="clear" w:color="auto" w:fill="FFFFFF"/>
          </w:tcPr>
          <w:p>
            <w:pPr>
              <w:spacing w:after="40"/>
            </w:pPr>
            <w:r>
              <w:rPr>
                <w:rFonts w:ascii="Arial" w:hAnsi="Arial"/>
                <w:sz w:val="19"/>
              </w:rPr>
              <w:t>Very Good</w:t>
            </w:r>
          </w:p>
        </w:tc>
      </w:tr>
      <w:tr>
        <w:tc>
          <w:tcPr>
            <w:tcW w:type="dxa" w:w="3600"/>
            <w:shd w:val="clear" w:color="auto" w:fill="E8EEF6"/>
          </w:tcPr>
          <w:p>
            <w:pPr>
              <w:spacing w:after="40"/>
            </w:pPr>
            <w:r>
              <w:rPr>
                <w:rFonts w:ascii="Arial" w:hAnsi="Arial"/>
                <w:b/>
                <w:sz w:val="19"/>
              </w:rPr>
              <w:t>Stability to Oxidants</w:t>
            </w:r>
          </w:p>
        </w:tc>
        <w:tc>
          <w:tcPr>
            <w:tcW w:type="dxa" w:w="6480"/>
            <w:shd w:val="clear" w:color="auto" w:fill="F2F2F2"/>
          </w:tcPr>
          <w:p>
            <w:pPr>
              <w:spacing w:after="40"/>
            </w:pPr>
            <w:r>
              <w:rPr>
                <w:rFonts w:ascii="Arial" w:hAnsi="Arial"/>
                <w:sz w:val="19"/>
              </w:rPr>
              <w:t>Very Good</w:t>
            </w:r>
          </w:p>
        </w:tc>
      </w:tr>
    </w:tbl>
    <w:p/>
    <w:p>
      <w:pPr>
        <w:spacing w:before="280" w:after="80"/>
        <w:pBdr>
          <w:bottom w:val="single" w:sz="6" w:space="1" w:color="0057B8"/>
        </w:pBdr>
      </w:pPr>
      <w:r>
        <w:rPr>
          <w:rFonts w:ascii="Arial" w:hAnsi="Arial"/>
          <w:b/>
          <w:color w:val="0057B8"/>
          <w:sz w:val="24"/>
        </w:rPr>
        <w:t>Applications:</w:t>
      </w:r>
    </w:p>
    <w:p>
      <w:pPr>
        <w:spacing w:before="200" w:after="60"/>
      </w:pPr>
      <w:r>
        <w:rPr>
          <w:rFonts w:ascii="Arial" w:hAnsi="Arial"/>
          <w:b/>
          <w:i/>
          <w:color w:val="333333"/>
          <w:sz w:val="20"/>
        </w:rPr>
        <w:t>1. Pre-heat Setting Bath</w:t>
      </w:r>
    </w:p>
    <w:tbl>
      <w:tblPr>
        <w:tblStyle w:val="TableGrid"/>
        <w:tblW w:type="auto" w:w="0"/>
        <w:tblLook w:firstColumn="1" w:firstRow="1" w:lastColumn="0" w:lastRow="0" w:noHBand="0" w:noVBand="1" w:val="04A0"/>
      </w:tblPr>
      <w:tblGrid>
        <w:gridCol w:w="2257"/>
        <w:gridCol w:w="2257"/>
        <w:gridCol w:w="2257"/>
        <w:gridCol w:w="2257"/>
      </w:tblGrid>
      <w:tr>
        <w:tc>
          <w:tcPr>
            <w:tcW w:type="dxa" w:w="1872"/>
            <w:shd w:val="clear" w:color="auto" w:fill="111111"/>
          </w:tcPr>
          <w:p>
            <w:pPr>
              <w:spacing w:after="0"/>
            </w:pPr>
            <w:r>
              <w:rPr>
                <w:rFonts w:ascii="Arial" w:hAnsi="Arial"/>
                <w:b/>
                <w:color w:val="FFFFFF"/>
                <w:sz w:val="18"/>
              </w:rPr>
              <w:t>Function</w:t>
            </w:r>
          </w:p>
        </w:tc>
        <w:tc>
          <w:tcPr>
            <w:tcW w:type="dxa" w:w="2304"/>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608"/>
            <w:shd w:val="clear" w:color="auto" w:fill="111111"/>
          </w:tcPr>
          <w:p>
            <w:pPr>
              <w:spacing w:after="0"/>
            </w:pPr>
            <w:r>
              <w:rPr>
                <w:rFonts w:ascii="Arial" w:hAnsi="Arial"/>
                <w:b/>
                <w:color w:val="FFFFFF"/>
                <w:sz w:val="18"/>
              </w:rPr>
              <w:t>Process Conditions</w:t>
            </w:r>
          </w:p>
        </w:tc>
      </w:tr>
      <w:tr>
        <w:tc>
          <w:tcPr>
            <w:tcW w:type="dxa" w:w="1872"/>
            <w:shd w:val="clear" w:color="auto" w:fill="FFFFFF"/>
          </w:tcPr>
          <w:p>
            <w:pPr>
              <w:spacing w:after="0"/>
            </w:pPr>
            <w:r>
              <w:rPr>
                <w:rFonts w:ascii="Arial" w:hAnsi="Arial"/>
                <w:b w:val="0"/>
                <w:sz w:val="18"/>
              </w:rPr>
              <w:t>Lubricating Agent</w:t>
            </w:r>
          </w:p>
        </w:tc>
        <w:tc>
          <w:tcPr>
            <w:tcW w:type="dxa" w:w="2304"/>
            <w:shd w:val="clear" w:color="auto" w:fill="FFFFFF"/>
          </w:tcPr>
          <w:p>
            <w:pPr>
              <w:spacing w:after="0"/>
            </w:pPr>
            <w:r>
              <w:rPr>
                <w:rFonts w:ascii="Arial" w:hAnsi="Arial"/>
                <w:b/>
                <w:sz w:val="18"/>
              </w:rPr>
              <w:t>ZETALUB EAC</w:t>
            </w:r>
          </w:p>
        </w:tc>
        <w:tc>
          <w:tcPr>
            <w:tcW w:type="dxa" w:w="1296"/>
            <w:shd w:val="clear" w:color="auto" w:fill="FFFFFF"/>
          </w:tcPr>
          <w:p>
            <w:pPr>
              <w:spacing w:after="0"/>
            </w:pPr>
            <w:r>
              <w:rPr>
                <w:rFonts w:ascii="Arial" w:hAnsi="Arial"/>
                <w:b w:val="0"/>
                <w:sz w:val="18"/>
              </w:rPr>
              <w:t>5–10 GPL</w:t>
            </w:r>
          </w:p>
        </w:tc>
        <w:tc>
          <w:tcPr>
            <w:tcW w:type="dxa" w:w="4608"/>
            <w:shd w:val="clear" w:color="auto" w:fill="FFFFFF"/>
          </w:tcPr>
          <w:p>
            <w:pPr>
              <w:spacing w:after="0"/>
            </w:pPr>
            <w:r>
              <w:rPr>
                <w:rFonts w:ascii="Arial" w:hAnsi="Arial"/>
                <w:b w:val="0"/>
                <w:sz w:val="18"/>
              </w:rPr>
              <w:t>Pick up 80%, dwell time 30 seconds, optimum temperature 180°C</w:t>
            </w:r>
          </w:p>
        </w:tc>
      </w:tr>
      <w:tr>
        <w:tc>
          <w:tcPr>
            <w:tcW w:type="dxa" w:w="1872"/>
            <w:shd w:val="clear" w:color="auto" w:fill="F9F9F9"/>
          </w:tcPr>
          <w:p>
            <w:pPr>
              <w:spacing w:after="0"/>
            </w:pPr>
            <w:r>
              <w:rPr>
                <w:rFonts w:ascii="Arial" w:hAnsi="Arial"/>
                <w:b w:val="0"/>
                <w:sz w:val="18"/>
              </w:rPr>
              <w:t>Wetting Agent</w:t>
            </w:r>
          </w:p>
        </w:tc>
        <w:tc>
          <w:tcPr>
            <w:tcW w:type="dxa" w:w="2304"/>
            <w:shd w:val="clear" w:color="auto" w:fill="F9F9F9"/>
          </w:tcPr>
          <w:p>
            <w:pPr>
              <w:spacing w:after="0"/>
            </w:pPr>
            <w:r>
              <w:rPr>
                <w:rFonts w:ascii="Arial" w:hAnsi="Arial"/>
                <w:b/>
                <w:sz w:val="18"/>
              </w:rPr>
              <w:t>ZETAWET SWLF CONC</w:t>
            </w:r>
          </w:p>
        </w:tc>
        <w:tc>
          <w:tcPr>
            <w:tcW w:type="dxa" w:w="1296"/>
            <w:shd w:val="clear" w:color="auto" w:fill="F9F9F9"/>
          </w:tcPr>
          <w:p>
            <w:pPr>
              <w:spacing w:after="0"/>
            </w:pPr>
            <w:r>
              <w:rPr>
                <w:rFonts w:ascii="Arial" w:hAnsi="Arial"/>
                <w:b w:val="0"/>
                <w:sz w:val="18"/>
              </w:rPr>
              <w:t>3–5 GPL</w:t>
            </w:r>
          </w:p>
        </w:tc>
        <w:tc>
          <w:tcPr>
            <w:tcW w:type="dxa" w:w="4608"/>
            <w:shd w:val="clear" w:color="auto" w:fill="F9F9F9"/>
          </w:tcPr>
          <w:p>
            <w:pPr>
              <w:spacing w:after="0"/>
            </w:pPr>
            <w:r>
              <w:rPr>
                <w:rFonts w:ascii="Arial" w:hAnsi="Arial"/>
                <w:b w:val="0"/>
                <w:sz w:val="18"/>
              </w:rPr>
              <w:t>Pick up 80%, dwell time 30 seconds, optimum temperature 180°C</w:t>
            </w:r>
          </w:p>
        </w:tc>
      </w:tr>
    </w:tbl>
    <w:p/>
    <w:p>
      <w:pPr>
        <w:spacing w:before="200" w:after="60"/>
      </w:pPr>
      <w:r>
        <w:rPr>
          <w:rFonts w:ascii="Arial" w:hAnsi="Arial"/>
          <w:b/>
          <w:i/>
          <w:color w:val="333333"/>
          <w:sz w:val="20"/>
        </w:rPr>
        <w:t>2. De-mineralizing Bath</w:t>
      </w:r>
    </w:p>
    <w:tbl>
      <w:tblPr>
        <w:tblStyle w:val="TableGrid"/>
        <w:tblW w:type="auto" w:w="0"/>
        <w:tblLook w:firstColumn="1" w:firstRow="1" w:lastColumn="0" w:lastRow="0" w:noHBand="0" w:noVBand="1" w:val="04A0"/>
      </w:tblPr>
      <w:tblGrid>
        <w:gridCol w:w="2257"/>
        <w:gridCol w:w="2257"/>
        <w:gridCol w:w="2257"/>
        <w:gridCol w:w="2257"/>
      </w:tblGrid>
      <w:tr>
        <w:tc>
          <w:tcPr>
            <w:tcW w:type="dxa" w:w="1872"/>
            <w:shd w:val="clear" w:color="auto" w:fill="111111"/>
          </w:tcPr>
          <w:p>
            <w:pPr>
              <w:spacing w:after="0"/>
            </w:pPr>
            <w:r>
              <w:rPr>
                <w:rFonts w:ascii="Arial" w:hAnsi="Arial"/>
                <w:b/>
                <w:color w:val="FFFFFF"/>
                <w:sz w:val="18"/>
              </w:rPr>
              <w:t>Function</w:t>
            </w:r>
          </w:p>
        </w:tc>
        <w:tc>
          <w:tcPr>
            <w:tcW w:type="dxa" w:w="2304"/>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608"/>
            <w:shd w:val="clear" w:color="auto" w:fill="111111"/>
          </w:tcPr>
          <w:p>
            <w:pPr>
              <w:spacing w:after="0"/>
            </w:pPr>
            <w:r>
              <w:rPr>
                <w:rFonts w:ascii="Arial" w:hAnsi="Arial"/>
                <w:b/>
                <w:color w:val="FFFFFF"/>
                <w:sz w:val="18"/>
              </w:rPr>
              <w:t>Process Conditions</w:t>
            </w:r>
          </w:p>
        </w:tc>
      </w:tr>
      <w:tr>
        <w:tc>
          <w:tcPr>
            <w:tcW w:type="dxa" w:w="1872"/>
            <w:shd w:val="clear" w:color="auto" w:fill="FFFFFF"/>
          </w:tcPr>
          <w:p>
            <w:pPr>
              <w:spacing w:after="0"/>
            </w:pPr>
            <w:r>
              <w:rPr>
                <w:rFonts w:ascii="Arial" w:hAnsi="Arial"/>
                <w:b w:val="0"/>
                <w:sz w:val="18"/>
              </w:rPr>
              <w:t>Lubricating Agent</w:t>
            </w:r>
          </w:p>
        </w:tc>
        <w:tc>
          <w:tcPr>
            <w:tcW w:type="dxa" w:w="2304"/>
            <w:shd w:val="clear" w:color="auto" w:fill="FFFFFF"/>
          </w:tcPr>
          <w:p>
            <w:pPr>
              <w:spacing w:after="0"/>
            </w:pPr>
            <w:r>
              <w:rPr>
                <w:rFonts w:ascii="Arial" w:hAnsi="Arial"/>
                <w:b/>
                <w:sz w:val="18"/>
              </w:rPr>
              <w:t>ZETALUB EAC</w:t>
            </w:r>
          </w:p>
        </w:tc>
        <w:tc>
          <w:tcPr>
            <w:tcW w:type="dxa" w:w="1296"/>
            <w:shd w:val="clear" w:color="auto" w:fill="FFFFFF"/>
          </w:tcPr>
          <w:p>
            <w:pPr>
              <w:spacing w:after="0"/>
            </w:pPr>
            <w:r>
              <w:rPr>
                <w:rFonts w:ascii="Arial" w:hAnsi="Arial"/>
                <w:b w:val="0"/>
                <w:sz w:val="18"/>
              </w:rPr>
              <w:t>0.5%–1.0%</w:t>
            </w:r>
          </w:p>
        </w:tc>
        <w:tc>
          <w:tcPr>
            <w:tcW w:type="dxa" w:w="4608"/>
            <w:shd w:val="clear" w:color="auto" w:fill="FFFFFF"/>
          </w:tcPr>
          <w:p>
            <w:pPr>
              <w:spacing w:after="0"/>
            </w:pPr>
            <w:r>
              <w:rPr>
                <w:rFonts w:ascii="Arial" w:hAnsi="Arial"/>
                <w:b w:val="0"/>
                <w:sz w:val="18"/>
              </w:rPr>
              <w:t>Auxiliary dosing – raise temperature to 70°C–80°C and hold for 20 to 30 minutes</w:t>
            </w:r>
          </w:p>
        </w:tc>
      </w:tr>
      <w:tr>
        <w:tc>
          <w:tcPr>
            <w:tcW w:type="dxa" w:w="1872"/>
            <w:shd w:val="clear" w:color="auto" w:fill="F9F9F9"/>
          </w:tcPr>
          <w:p>
            <w:pPr>
              <w:spacing w:after="0"/>
            </w:pPr>
            <w:r>
              <w:rPr>
                <w:rFonts w:ascii="Arial" w:hAnsi="Arial"/>
                <w:b w:val="0"/>
                <w:sz w:val="18"/>
              </w:rPr>
              <w:t>Wetting Agent</w:t>
            </w:r>
          </w:p>
        </w:tc>
        <w:tc>
          <w:tcPr>
            <w:tcW w:type="dxa" w:w="2304"/>
            <w:shd w:val="clear" w:color="auto" w:fill="F9F9F9"/>
          </w:tcPr>
          <w:p>
            <w:pPr>
              <w:spacing w:after="0"/>
            </w:pPr>
            <w:r>
              <w:rPr>
                <w:rFonts w:ascii="Arial" w:hAnsi="Arial"/>
                <w:b/>
                <w:sz w:val="18"/>
              </w:rPr>
              <w:t>ZETAWET SWLF CONC</w:t>
            </w:r>
          </w:p>
        </w:tc>
        <w:tc>
          <w:tcPr>
            <w:tcW w:type="dxa" w:w="1296"/>
            <w:shd w:val="clear" w:color="auto" w:fill="F9F9F9"/>
          </w:tcPr>
          <w:p>
            <w:pPr>
              <w:spacing w:after="0"/>
            </w:pPr>
            <w:r>
              <w:rPr>
                <w:rFonts w:ascii="Arial" w:hAnsi="Arial"/>
                <w:b w:val="0"/>
                <w:sz w:val="18"/>
              </w:rPr>
              <w:t>0.3%–0.5%</w:t>
            </w:r>
          </w:p>
        </w:tc>
        <w:tc>
          <w:tcPr>
            <w:tcW w:type="dxa" w:w="4608"/>
            <w:shd w:val="clear" w:color="auto" w:fill="F9F9F9"/>
          </w:tcPr>
          <w:p>
            <w:pPr>
              <w:spacing w:after="0"/>
            </w:pPr>
            <w:r>
              <w:rPr>
                <w:rFonts w:ascii="Arial" w:hAnsi="Arial"/>
                <w:b w:val="0"/>
                <w:sz w:val="18"/>
              </w:rPr>
            </w:r>
          </w:p>
        </w:tc>
      </w:tr>
      <w:tr>
        <w:tc>
          <w:tcPr>
            <w:tcW w:type="dxa" w:w="1872"/>
            <w:shd w:val="clear" w:color="auto" w:fill="FFFFFF"/>
          </w:tcPr>
          <w:p>
            <w:pPr>
              <w:spacing w:after="0"/>
            </w:pPr>
            <w:r>
              <w:rPr>
                <w:rFonts w:ascii="Arial" w:hAnsi="Arial"/>
                <w:b w:val="0"/>
                <w:sz w:val="18"/>
              </w:rPr>
              <w:t>Sequestering Agent</w:t>
            </w:r>
          </w:p>
        </w:tc>
        <w:tc>
          <w:tcPr>
            <w:tcW w:type="dxa" w:w="2304"/>
            <w:shd w:val="clear" w:color="auto" w:fill="FFFFFF"/>
          </w:tcPr>
          <w:p>
            <w:pPr>
              <w:spacing w:after="0"/>
            </w:pPr>
            <w:r>
              <w:rPr>
                <w:rFonts w:ascii="Arial" w:hAnsi="Arial"/>
                <w:b/>
                <w:sz w:val="18"/>
              </w:rPr>
              <w:t>ZETAPLEX SQT CONC</w:t>
            </w:r>
          </w:p>
        </w:tc>
        <w:tc>
          <w:tcPr>
            <w:tcW w:type="dxa" w:w="1296"/>
            <w:shd w:val="clear" w:color="auto" w:fill="FFFFFF"/>
          </w:tcPr>
          <w:p>
            <w:pPr>
              <w:spacing w:after="0"/>
            </w:pPr>
            <w:r>
              <w:rPr>
                <w:rFonts w:ascii="Arial" w:hAnsi="Arial"/>
                <w:b w:val="0"/>
                <w:sz w:val="18"/>
              </w:rPr>
              <w:t>0.3%–0.5%</w:t>
            </w:r>
          </w:p>
        </w:tc>
        <w:tc>
          <w:tcPr>
            <w:tcW w:type="dxa" w:w="4608"/>
            <w:shd w:val="clear" w:color="auto" w:fill="FFFFFF"/>
          </w:tcPr>
          <w:p>
            <w:pPr>
              <w:spacing w:after="0"/>
            </w:pPr>
            <w:r>
              <w:rPr>
                <w:rFonts w:ascii="Arial" w:hAnsi="Arial"/>
                <w:b w:val="0"/>
                <w:sz w:val="18"/>
              </w:rPr>
            </w:r>
          </w:p>
        </w:tc>
      </w:tr>
    </w:tbl>
    <w:p/>
    <w:p>
      <w:pPr>
        <w:spacing w:before="200" w:after="60"/>
      </w:pPr>
      <w:r>
        <w:rPr>
          <w:rFonts w:ascii="Arial" w:hAnsi="Arial"/>
          <w:b/>
          <w:i/>
          <w:color w:val="333333"/>
          <w:sz w:val="20"/>
        </w:rPr>
        <w:t>3. Scouring &amp; Oxidative Bleaching Bath — RFD / RFP Fabrics</w:t>
      </w:r>
    </w:p>
    <w:tbl>
      <w:tblPr>
        <w:tblStyle w:val="TableGrid"/>
        <w:tblW w:type="auto" w:w="0"/>
        <w:tblLook w:firstColumn="1" w:firstRow="1" w:lastColumn="0" w:lastRow="0" w:noHBand="0" w:noVBand="1" w:val="04A0"/>
      </w:tblPr>
      <w:tblGrid>
        <w:gridCol w:w="2257"/>
        <w:gridCol w:w="2257"/>
        <w:gridCol w:w="2257"/>
        <w:gridCol w:w="2257"/>
      </w:tblGrid>
      <w:tr>
        <w:tc>
          <w:tcPr>
            <w:tcW w:type="dxa" w:w="1872"/>
            <w:shd w:val="clear" w:color="auto" w:fill="111111"/>
          </w:tcPr>
          <w:p>
            <w:pPr>
              <w:spacing w:after="0"/>
            </w:pPr>
            <w:r>
              <w:rPr>
                <w:rFonts w:ascii="Arial" w:hAnsi="Arial"/>
                <w:b/>
                <w:color w:val="FFFFFF"/>
                <w:sz w:val="18"/>
              </w:rPr>
              <w:t>Function</w:t>
            </w:r>
          </w:p>
        </w:tc>
        <w:tc>
          <w:tcPr>
            <w:tcW w:type="dxa" w:w="2304"/>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608"/>
            <w:shd w:val="clear" w:color="auto" w:fill="111111"/>
          </w:tcPr>
          <w:p>
            <w:pPr>
              <w:spacing w:after="0"/>
            </w:pPr>
            <w:r>
              <w:rPr>
                <w:rFonts w:ascii="Arial" w:hAnsi="Arial"/>
                <w:b/>
                <w:color w:val="FFFFFF"/>
                <w:sz w:val="18"/>
              </w:rPr>
              <w:t>Process Conditions</w:t>
            </w:r>
          </w:p>
        </w:tc>
      </w:tr>
      <w:tr>
        <w:tc>
          <w:tcPr>
            <w:tcW w:type="dxa" w:w="1872"/>
            <w:shd w:val="clear" w:color="auto" w:fill="FFFFFF"/>
          </w:tcPr>
          <w:p>
            <w:pPr>
              <w:spacing w:after="0"/>
            </w:pPr>
            <w:r>
              <w:rPr>
                <w:rFonts w:ascii="Arial" w:hAnsi="Arial"/>
                <w:b w:val="0"/>
                <w:sz w:val="18"/>
              </w:rPr>
              <w:t>Lubricating Agent</w:t>
            </w:r>
          </w:p>
        </w:tc>
        <w:tc>
          <w:tcPr>
            <w:tcW w:type="dxa" w:w="2304"/>
            <w:shd w:val="clear" w:color="auto" w:fill="FFFFFF"/>
          </w:tcPr>
          <w:p>
            <w:pPr>
              <w:spacing w:after="0"/>
            </w:pPr>
            <w:r>
              <w:rPr>
                <w:rFonts w:ascii="Arial" w:hAnsi="Arial"/>
                <w:b/>
                <w:sz w:val="18"/>
              </w:rPr>
              <w:t>ZETALUB EAC</w:t>
            </w:r>
          </w:p>
        </w:tc>
        <w:tc>
          <w:tcPr>
            <w:tcW w:type="dxa" w:w="1296"/>
            <w:shd w:val="clear" w:color="auto" w:fill="FFFFFF"/>
          </w:tcPr>
          <w:p>
            <w:pPr>
              <w:spacing w:after="0"/>
            </w:pPr>
            <w:r>
              <w:rPr>
                <w:rFonts w:ascii="Arial" w:hAnsi="Arial"/>
                <w:b w:val="0"/>
                <w:sz w:val="18"/>
              </w:rPr>
              <w:t>0.5%–1.0%</w:t>
            </w:r>
          </w:p>
        </w:tc>
        <w:tc>
          <w:tcPr>
            <w:tcW w:type="dxa" w:w="4608"/>
            <w:shd w:val="clear" w:color="auto" w:fill="FFFFFF"/>
          </w:tcPr>
          <w:p>
            <w:pPr>
              <w:spacing w:after="0"/>
            </w:pPr>
            <w:r>
              <w:rPr>
                <w:rFonts w:ascii="Arial" w:hAnsi="Arial"/>
                <w:b w:val="0"/>
                <w:sz w:val="18"/>
              </w:rPr>
              <w:t>Auxiliary dosing – raise to 60°C – Caustic Soda dosing (2 cycles) – H₂O₂ 50% dosing (2 cycles) – raise to optimum temp &amp; hold (95°C × 45–60 min or 110°C × 20–30 min) – Drain bath at 80°C</w:t>
            </w:r>
          </w:p>
        </w:tc>
      </w:tr>
      <w:tr>
        <w:tc>
          <w:tcPr>
            <w:tcW w:type="dxa" w:w="1872"/>
            <w:shd w:val="clear" w:color="auto" w:fill="F9F9F9"/>
          </w:tcPr>
          <w:p>
            <w:pPr>
              <w:spacing w:after="0"/>
            </w:pPr>
            <w:r>
              <w:rPr>
                <w:rFonts w:ascii="Arial" w:hAnsi="Arial"/>
                <w:b w:val="0"/>
                <w:sz w:val="18"/>
              </w:rPr>
              <w:t>Wetting Agent</w:t>
            </w:r>
          </w:p>
        </w:tc>
        <w:tc>
          <w:tcPr>
            <w:tcW w:type="dxa" w:w="2304"/>
            <w:shd w:val="clear" w:color="auto" w:fill="F9F9F9"/>
          </w:tcPr>
          <w:p>
            <w:pPr>
              <w:spacing w:after="0"/>
            </w:pPr>
            <w:r>
              <w:rPr>
                <w:rFonts w:ascii="Arial" w:hAnsi="Arial"/>
                <w:b/>
                <w:sz w:val="18"/>
              </w:rPr>
              <w:t>ZETAWET SWLF CONC</w:t>
            </w:r>
          </w:p>
        </w:tc>
        <w:tc>
          <w:tcPr>
            <w:tcW w:type="dxa" w:w="1296"/>
            <w:shd w:val="clear" w:color="auto" w:fill="F9F9F9"/>
          </w:tcPr>
          <w:p>
            <w:pPr>
              <w:spacing w:after="0"/>
            </w:pPr>
            <w:r>
              <w:rPr>
                <w:rFonts w:ascii="Arial" w:hAnsi="Arial"/>
                <w:b w:val="0"/>
                <w:sz w:val="18"/>
              </w:rPr>
              <w:t>0.4%–0.6%</w:t>
            </w:r>
          </w:p>
        </w:tc>
        <w:tc>
          <w:tcPr>
            <w:tcW w:type="dxa" w:w="4608"/>
            <w:shd w:val="clear" w:color="auto" w:fill="F9F9F9"/>
          </w:tcPr>
          <w:p>
            <w:pPr>
              <w:spacing w:after="0"/>
            </w:pPr>
            <w:r>
              <w:rPr>
                <w:rFonts w:ascii="Arial" w:hAnsi="Arial"/>
                <w:b w:val="0"/>
                <w:sz w:val="18"/>
              </w:rPr>
            </w:r>
          </w:p>
        </w:tc>
      </w:tr>
      <w:tr>
        <w:tc>
          <w:tcPr>
            <w:tcW w:type="dxa" w:w="1872"/>
            <w:shd w:val="clear" w:color="auto" w:fill="FFFFFF"/>
          </w:tcPr>
          <w:p>
            <w:pPr>
              <w:spacing w:after="0"/>
            </w:pPr>
            <w:r>
              <w:rPr>
                <w:rFonts w:ascii="Arial" w:hAnsi="Arial"/>
                <w:b w:val="0"/>
                <w:sz w:val="18"/>
              </w:rPr>
              <w:t>Sequestering Agent</w:t>
            </w:r>
          </w:p>
        </w:tc>
        <w:tc>
          <w:tcPr>
            <w:tcW w:type="dxa" w:w="2304"/>
            <w:shd w:val="clear" w:color="auto" w:fill="FFFFFF"/>
          </w:tcPr>
          <w:p>
            <w:pPr>
              <w:spacing w:after="0"/>
            </w:pPr>
            <w:r>
              <w:rPr>
                <w:rFonts w:ascii="Arial" w:hAnsi="Arial"/>
                <w:b/>
                <w:sz w:val="18"/>
              </w:rPr>
              <w:t>ZETAPLEX SQT CONC</w:t>
            </w:r>
          </w:p>
        </w:tc>
        <w:tc>
          <w:tcPr>
            <w:tcW w:type="dxa" w:w="1296"/>
            <w:shd w:val="clear" w:color="auto" w:fill="FFFFFF"/>
          </w:tcPr>
          <w:p>
            <w:pPr>
              <w:spacing w:after="0"/>
            </w:pPr>
            <w:r>
              <w:rPr>
                <w:rFonts w:ascii="Arial" w:hAnsi="Arial"/>
                <w:b w:val="0"/>
                <w:sz w:val="18"/>
              </w:rPr>
              <w:t>0.3%–0.5%</w:t>
            </w:r>
          </w:p>
        </w:tc>
        <w:tc>
          <w:tcPr>
            <w:tcW w:type="dxa" w:w="4608"/>
            <w:shd w:val="clear" w:color="auto" w:fill="FFFFFF"/>
          </w:tcPr>
          <w:p>
            <w:pPr>
              <w:spacing w:after="0"/>
            </w:pPr>
            <w:r>
              <w:rPr>
                <w:rFonts w:ascii="Arial" w:hAnsi="Arial"/>
                <w:b w:val="0"/>
                <w:sz w:val="18"/>
              </w:rPr>
            </w:r>
          </w:p>
        </w:tc>
      </w:tr>
      <w:tr>
        <w:tc>
          <w:tcPr>
            <w:tcW w:type="dxa" w:w="1872"/>
            <w:shd w:val="clear" w:color="auto" w:fill="F9F9F9"/>
          </w:tcPr>
          <w:p>
            <w:pPr>
              <w:spacing w:after="0"/>
            </w:pPr>
            <w:r>
              <w:rPr>
                <w:rFonts w:ascii="Arial" w:hAnsi="Arial"/>
                <w:b w:val="0"/>
                <w:sz w:val="18"/>
              </w:rPr>
              <w:t>Peroxide Stabilizer</w:t>
            </w:r>
          </w:p>
        </w:tc>
        <w:tc>
          <w:tcPr>
            <w:tcW w:type="dxa" w:w="2304"/>
            <w:shd w:val="clear" w:color="auto" w:fill="F9F9F9"/>
          </w:tcPr>
          <w:p>
            <w:pPr>
              <w:spacing w:after="0"/>
            </w:pPr>
            <w:r>
              <w:rPr>
                <w:rFonts w:ascii="Arial" w:hAnsi="Arial"/>
                <w:b/>
                <w:sz w:val="18"/>
              </w:rPr>
              <w:t>ZETASTAB BR</w:t>
            </w:r>
          </w:p>
        </w:tc>
        <w:tc>
          <w:tcPr>
            <w:tcW w:type="dxa" w:w="1296"/>
            <w:shd w:val="clear" w:color="auto" w:fill="F9F9F9"/>
          </w:tcPr>
          <w:p>
            <w:pPr>
              <w:spacing w:after="0"/>
            </w:pPr>
            <w:r>
              <w:rPr>
                <w:rFonts w:ascii="Arial" w:hAnsi="Arial"/>
                <w:b w:val="0"/>
                <w:sz w:val="18"/>
              </w:rPr>
              <w:t>0.2%–0.3%</w:t>
            </w:r>
          </w:p>
        </w:tc>
        <w:tc>
          <w:tcPr>
            <w:tcW w:type="dxa" w:w="4608"/>
            <w:shd w:val="clear" w:color="auto" w:fill="F9F9F9"/>
          </w:tcPr>
          <w:p>
            <w:pPr>
              <w:spacing w:after="0"/>
            </w:pPr>
            <w:r>
              <w:rPr>
                <w:rFonts w:ascii="Arial" w:hAnsi="Arial"/>
                <w:b w:val="0"/>
                <w:sz w:val="18"/>
              </w:rPr>
            </w:r>
          </w:p>
        </w:tc>
      </w:tr>
      <w:tr>
        <w:tc>
          <w:tcPr>
            <w:tcW w:type="dxa" w:w="1872"/>
            <w:shd w:val="clear" w:color="auto" w:fill="FFFFFF"/>
          </w:tcPr>
          <w:p>
            <w:pPr>
              <w:spacing w:after="0"/>
            </w:pPr>
            <w:r>
              <w:rPr>
                <w:rFonts w:ascii="Arial" w:hAnsi="Arial"/>
                <w:b w:val="0"/>
                <w:sz w:val="18"/>
              </w:rPr>
              <w:t>Alkali</w:t>
            </w:r>
          </w:p>
        </w:tc>
        <w:tc>
          <w:tcPr>
            <w:tcW w:type="dxa" w:w="2304"/>
            <w:shd w:val="clear" w:color="auto" w:fill="FFFFFF"/>
          </w:tcPr>
          <w:p>
            <w:pPr>
              <w:spacing w:after="0"/>
            </w:pPr>
            <w:r>
              <w:rPr>
                <w:rFonts w:ascii="Arial" w:hAnsi="Arial"/>
                <w:b w:val="0"/>
                <w:sz w:val="18"/>
              </w:rPr>
              <w:t>Caustic Soda Flakes</w:t>
            </w:r>
          </w:p>
        </w:tc>
        <w:tc>
          <w:tcPr>
            <w:tcW w:type="dxa" w:w="1296"/>
            <w:shd w:val="clear" w:color="auto" w:fill="FFFFFF"/>
          </w:tcPr>
          <w:p>
            <w:pPr>
              <w:spacing w:after="0"/>
            </w:pPr>
            <w:r>
              <w:rPr>
                <w:rFonts w:ascii="Arial" w:hAnsi="Arial"/>
                <w:b w:val="0"/>
                <w:sz w:val="18"/>
              </w:rPr>
              <w:t>1.2%–2.5%</w:t>
            </w:r>
          </w:p>
        </w:tc>
        <w:tc>
          <w:tcPr>
            <w:tcW w:type="dxa" w:w="4608"/>
            <w:shd w:val="clear" w:color="auto" w:fill="FFFFFF"/>
          </w:tcPr>
          <w:p>
            <w:pPr>
              <w:spacing w:after="0"/>
            </w:pPr>
            <w:r>
              <w:rPr>
                <w:rFonts w:ascii="Arial" w:hAnsi="Arial"/>
                <w:b w:val="0"/>
                <w:sz w:val="18"/>
              </w:rPr>
            </w:r>
          </w:p>
        </w:tc>
      </w:tr>
      <w:tr>
        <w:tc>
          <w:tcPr>
            <w:tcW w:type="dxa" w:w="1872"/>
            <w:shd w:val="clear" w:color="auto" w:fill="F9F9F9"/>
          </w:tcPr>
          <w:p>
            <w:pPr>
              <w:spacing w:after="0"/>
            </w:pPr>
            <w:r>
              <w:rPr>
                <w:rFonts w:ascii="Arial" w:hAnsi="Arial"/>
                <w:b w:val="0"/>
                <w:sz w:val="18"/>
              </w:rPr>
              <w:t>Oxidative Bleaching Agent</w:t>
            </w:r>
          </w:p>
        </w:tc>
        <w:tc>
          <w:tcPr>
            <w:tcW w:type="dxa" w:w="2304"/>
            <w:shd w:val="clear" w:color="auto" w:fill="F9F9F9"/>
          </w:tcPr>
          <w:p>
            <w:pPr>
              <w:spacing w:after="0"/>
            </w:pPr>
            <w:r>
              <w:rPr>
                <w:rFonts w:ascii="Arial" w:hAnsi="Arial"/>
                <w:b w:val="0"/>
                <w:sz w:val="18"/>
              </w:rPr>
              <w:t>Hydrogen Peroxide 50%</w:t>
            </w:r>
          </w:p>
        </w:tc>
        <w:tc>
          <w:tcPr>
            <w:tcW w:type="dxa" w:w="1296"/>
            <w:shd w:val="clear" w:color="auto" w:fill="F9F9F9"/>
          </w:tcPr>
          <w:p>
            <w:pPr>
              <w:spacing w:after="0"/>
            </w:pPr>
            <w:r>
              <w:rPr>
                <w:rFonts w:ascii="Arial" w:hAnsi="Arial"/>
                <w:b w:val="0"/>
                <w:sz w:val="18"/>
              </w:rPr>
              <w:t>1.5%–3.0%</w:t>
            </w:r>
          </w:p>
        </w:tc>
        <w:tc>
          <w:tcPr>
            <w:tcW w:type="dxa" w:w="4608"/>
            <w:shd w:val="clear" w:color="auto" w:fill="F9F9F9"/>
          </w:tcPr>
          <w:p>
            <w:pPr>
              <w:spacing w:after="0"/>
            </w:pPr>
            <w:r>
              <w:rPr>
                <w:rFonts w:ascii="Arial" w:hAnsi="Arial"/>
                <w:b w:val="0"/>
                <w:sz w:val="18"/>
              </w:rPr>
            </w:r>
          </w:p>
        </w:tc>
      </w:tr>
    </w:tbl>
    <w:p/>
    <w:p>
      <w:pPr>
        <w:spacing w:before="200" w:after="60"/>
      </w:pPr>
      <w:r>
        <w:rPr>
          <w:rFonts w:ascii="Arial" w:hAnsi="Arial"/>
          <w:b/>
          <w:i/>
          <w:color w:val="333333"/>
          <w:sz w:val="20"/>
        </w:rPr>
        <w:t>4. Scouring &amp; Oxidative Bleaching Bath — Full White (FW) Fabrics</w:t>
      </w:r>
    </w:p>
    <w:tbl>
      <w:tblPr>
        <w:tblStyle w:val="TableGrid"/>
        <w:tblW w:type="auto" w:w="0"/>
        <w:tblLook w:firstColumn="1" w:firstRow="1" w:lastColumn="0" w:lastRow="0" w:noHBand="0" w:noVBand="1" w:val="04A0"/>
      </w:tblPr>
      <w:tblGrid>
        <w:gridCol w:w="2257"/>
        <w:gridCol w:w="2257"/>
        <w:gridCol w:w="2257"/>
        <w:gridCol w:w="2257"/>
      </w:tblGrid>
      <w:tr>
        <w:tc>
          <w:tcPr>
            <w:tcW w:type="dxa" w:w="1872"/>
            <w:shd w:val="clear" w:color="auto" w:fill="111111"/>
          </w:tcPr>
          <w:p>
            <w:pPr>
              <w:spacing w:after="0"/>
            </w:pPr>
            <w:r>
              <w:rPr>
                <w:rFonts w:ascii="Arial" w:hAnsi="Arial"/>
                <w:b/>
                <w:color w:val="FFFFFF"/>
                <w:sz w:val="18"/>
              </w:rPr>
              <w:t>Function</w:t>
            </w:r>
          </w:p>
        </w:tc>
        <w:tc>
          <w:tcPr>
            <w:tcW w:type="dxa" w:w="2304"/>
            <w:shd w:val="clear" w:color="auto" w:fill="111111"/>
          </w:tcPr>
          <w:p>
            <w:pPr>
              <w:spacing w:after="0"/>
            </w:pPr>
            <w:r>
              <w:rPr>
                <w:rFonts w:ascii="Arial" w:hAnsi="Arial"/>
                <w:b/>
                <w:color w:val="FFFFFF"/>
                <w:sz w:val="18"/>
              </w:rPr>
              <w:t>Product</w:t>
            </w:r>
          </w:p>
        </w:tc>
        <w:tc>
          <w:tcPr>
            <w:tcW w:type="dxa" w:w="1296"/>
            <w:shd w:val="clear" w:color="auto" w:fill="111111"/>
          </w:tcPr>
          <w:p>
            <w:pPr>
              <w:spacing w:after="0"/>
            </w:pPr>
            <w:r>
              <w:rPr>
                <w:rFonts w:ascii="Arial" w:hAnsi="Arial"/>
                <w:b/>
                <w:color w:val="FFFFFF"/>
                <w:sz w:val="18"/>
              </w:rPr>
              <w:t>Dosage</w:t>
            </w:r>
          </w:p>
        </w:tc>
        <w:tc>
          <w:tcPr>
            <w:tcW w:type="dxa" w:w="4608"/>
            <w:shd w:val="clear" w:color="auto" w:fill="111111"/>
          </w:tcPr>
          <w:p>
            <w:pPr>
              <w:spacing w:after="0"/>
            </w:pPr>
            <w:r>
              <w:rPr>
                <w:rFonts w:ascii="Arial" w:hAnsi="Arial"/>
                <w:b/>
                <w:color w:val="FFFFFF"/>
                <w:sz w:val="18"/>
              </w:rPr>
              <w:t>Process Conditions</w:t>
            </w:r>
          </w:p>
        </w:tc>
      </w:tr>
      <w:tr>
        <w:tc>
          <w:tcPr>
            <w:tcW w:type="dxa" w:w="1872"/>
            <w:shd w:val="clear" w:color="auto" w:fill="FFFFFF"/>
          </w:tcPr>
          <w:p>
            <w:pPr>
              <w:spacing w:after="0"/>
            </w:pPr>
            <w:r>
              <w:rPr>
                <w:rFonts w:ascii="Arial" w:hAnsi="Arial"/>
                <w:b w:val="0"/>
                <w:sz w:val="18"/>
              </w:rPr>
              <w:t>Lubricating Agent</w:t>
            </w:r>
          </w:p>
        </w:tc>
        <w:tc>
          <w:tcPr>
            <w:tcW w:type="dxa" w:w="2304"/>
            <w:shd w:val="clear" w:color="auto" w:fill="FFFFFF"/>
          </w:tcPr>
          <w:p>
            <w:pPr>
              <w:spacing w:after="0"/>
            </w:pPr>
            <w:r>
              <w:rPr>
                <w:rFonts w:ascii="Arial" w:hAnsi="Arial"/>
                <w:b/>
                <w:sz w:val="18"/>
              </w:rPr>
              <w:t>ZETALUB EAC</w:t>
            </w:r>
          </w:p>
        </w:tc>
        <w:tc>
          <w:tcPr>
            <w:tcW w:type="dxa" w:w="1296"/>
            <w:shd w:val="clear" w:color="auto" w:fill="FFFFFF"/>
          </w:tcPr>
          <w:p>
            <w:pPr>
              <w:spacing w:after="0"/>
            </w:pPr>
            <w:r>
              <w:rPr>
                <w:rFonts w:ascii="Arial" w:hAnsi="Arial"/>
                <w:b w:val="0"/>
                <w:sz w:val="18"/>
              </w:rPr>
              <w:t>0.5%–1.0%</w:t>
            </w:r>
          </w:p>
        </w:tc>
        <w:tc>
          <w:tcPr>
            <w:tcW w:type="dxa" w:w="4608"/>
            <w:shd w:val="clear" w:color="auto" w:fill="FFFFFF"/>
          </w:tcPr>
          <w:p>
            <w:pPr>
              <w:spacing w:after="0"/>
            </w:pPr>
            <w:r>
              <w:rPr>
                <w:rFonts w:ascii="Arial" w:hAnsi="Arial"/>
                <w:b w:val="0"/>
                <w:sz w:val="18"/>
              </w:rPr>
              <w:t>Auxiliary dosing – raise to 60°C – Caustic Soda dosing (2 cycles) – H₂O₂ 50% dosing (2 cycles) – raise to optimum temp &amp; hold – drain at 80°C – Hot wash at 80°C, add OBA (20 min dosing + 20 min holding) – Drain bath</w:t>
            </w:r>
          </w:p>
        </w:tc>
      </w:tr>
      <w:tr>
        <w:tc>
          <w:tcPr>
            <w:tcW w:type="dxa" w:w="1872"/>
            <w:shd w:val="clear" w:color="auto" w:fill="F9F9F9"/>
          </w:tcPr>
          <w:p>
            <w:pPr>
              <w:spacing w:after="0"/>
            </w:pPr>
            <w:r>
              <w:rPr>
                <w:rFonts w:ascii="Arial" w:hAnsi="Arial"/>
                <w:b w:val="0"/>
                <w:sz w:val="18"/>
              </w:rPr>
              <w:t>Wetting Agent</w:t>
            </w:r>
          </w:p>
        </w:tc>
        <w:tc>
          <w:tcPr>
            <w:tcW w:type="dxa" w:w="2304"/>
            <w:shd w:val="clear" w:color="auto" w:fill="F9F9F9"/>
          </w:tcPr>
          <w:p>
            <w:pPr>
              <w:spacing w:after="0"/>
            </w:pPr>
            <w:r>
              <w:rPr>
                <w:rFonts w:ascii="Arial" w:hAnsi="Arial"/>
                <w:b/>
                <w:sz w:val="18"/>
              </w:rPr>
              <w:t>ZETAWET SWLF CONC</w:t>
            </w:r>
          </w:p>
        </w:tc>
        <w:tc>
          <w:tcPr>
            <w:tcW w:type="dxa" w:w="1296"/>
            <w:shd w:val="clear" w:color="auto" w:fill="F9F9F9"/>
          </w:tcPr>
          <w:p>
            <w:pPr>
              <w:spacing w:after="0"/>
            </w:pPr>
            <w:r>
              <w:rPr>
                <w:rFonts w:ascii="Arial" w:hAnsi="Arial"/>
                <w:b w:val="0"/>
                <w:sz w:val="18"/>
              </w:rPr>
              <w:t>0.4%–0.6%</w:t>
            </w:r>
          </w:p>
        </w:tc>
        <w:tc>
          <w:tcPr>
            <w:tcW w:type="dxa" w:w="4608"/>
            <w:shd w:val="clear" w:color="auto" w:fill="F9F9F9"/>
          </w:tcPr>
          <w:p>
            <w:pPr>
              <w:spacing w:after="0"/>
            </w:pPr>
            <w:r>
              <w:rPr>
                <w:rFonts w:ascii="Arial" w:hAnsi="Arial"/>
                <w:b w:val="0"/>
                <w:sz w:val="18"/>
              </w:rPr>
            </w:r>
          </w:p>
        </w:tc>
      </w:tr>
      <w:tr>
        <w:tc>
          <w:tcPr>
            <w:tcW w:type="dxa" w:w="1872"/>
            <w:shd w:val="clear" w:color="auto" w:fill="FFFFFF"/>
          </w:tcPr>
          <w:p>
            <w:pPr>
              <w:spacing w:after="0"/>
            </w:pPr>
            <w:r>
              <w:rPr>
                <w:rFonts w:ascii="Arial" w:hAnsi="Arial"/>
                <w:b w:val="0"/>
                <w:sz w:val="18"/>
              </w:rPr>
              <w:t>Sequestering Agent</w:t>
            </w:r>
          </w:p>
        </w:tc>
        <w:tc>
          <w:tcPr>
            <w:tcW w:type="dxa" w:w="2304"/>
            <w:shd w:val="clear" w:color="auto" w:fill="FFFFFF"/>
          </w:tcPr>
          <w:p>
            <w:pPr>
              <w:spacing w:after="0"/>
            </w:pPr>
            <w:r>
              <w:rPr>
                <w:rFonts w:ascii="Arial" w:hAnsi="Arial"/>
                <w:b/>
                <w:sz w:val="18"/>
              </w:rPr>
              <w:t>ZETAPLEX SQT CONC</w:t>
            </w:r>
          </w:p>
        </w:tc>
        <w:tc>
          <w:tcPr>
            <w:tcW w:type="dxa" w:w="1296"/>
            <w:shd w:val="clear" w:color="auto" w:fill="FFFFFF"/>
          </w:tcPr>
          <w:p>
            <w:pPr>
              <w:spacing w:after="0"/>
            </w:pPr>
            <w:r>
              <w:rPr>
                <w:rFonts w:ascii="Arial" w:hAnsi="Arial"/>
                <w:b w:val="0"/>
                <w:sz w:val="18"/>
              </w:rPr>
              <w:t>0.3%–0.5%</w:t>
            </w:r>
          </w:p>
        </w:tc>
        <w:tc>
          <w:tcPr>
            <w:tcW w:type="dxa" w:w="4608"/>
            <w:shd w:val="clear" w:color="auto" w:fill="FFFFFF"/>
          </w:tcPr>
          <w:p>
            <w:pPr>
              <w:spacing w:after="0"/>
            </w:pPr>
            <w:r>
              <w:rPr>
                <w:rFonts w:ascii="Arial" w:hAnsi="Arial"/>
                <w:b w:val="0"/>
                <w:sz w:val="18"/>
              </w:rPr>
            </w:r>
          </w:p>
        </w:tc>
      </w:tr>
      <w:tr>
        <w:tc>
          <w:tcPr>
            <w:tcW w:type="dxa" w:w="1872"/>
            <w:shd w:val="clear" w:color="auto" w:fill="F9F9F9"/>
          </w:tcPr>
          <w:p>
            <w:pPr>
              <w:spacing w:after="0"/>
            </w:pPr>
            <w:r>
              <w:rPr>
                <w:rFonts w:ascii="Arial" w:hAnsi="Arial"/>
                <w:b w:val="0"/>
                <w:sz w:val="18"/>
              </w:rPr>
              <w:t>Peroxide Stabilizer</w:t>
            </w:r>
          </w:p>
        </w:tc>
        <w:tc>
          <w:tcPr>
            <w:tcW w:type="dxa" w:w="2304"/>
            <w:shd w:val="clear" w:color="auto" w:fill="F9F9F9"/>
          </w:tcPr>
          <w:p>
            <w:pPr>
              <w:spacing w:after="0"/>
            </w:pPr>
            <w:r>
              <w:rPr>
                <w:rFonts w:ascii="Arial" w:hAnsi="Arial"/>
                <w:b/>
                <w:sz w:val="18"/>
              </w:rPr>
              <w:t>ZETASTAB BR</w:t>
            </w:r>
          </w:p>
        </w:tc>
        <w:tc>
          <w:tcPr>
            <w:tcW w:type="dxa" w:w="1296"/>
            <w:shd w:val="clear" w:color="auto" w:fill="F9F9F9"/>
          </w:tcPr>
          <w:p>
            <w:pPr>
              <w:spacing w:after="0"/>
            </w:pPr>
            <w:r>
              <w:rPr>
                <w:rFonts w:ascii="Arial" w:hAnsi="Arial"/>
                <w:b w:val="0"/>
                <w:sz w:val="18"/>
              </w:rPr>
              <w:t>1.0%–1.5%</w:t>
            </w:r>
          </w:p>
        </w:tc>
        <w:tc>
          <w:tcPr>
            <w:tcW w:type="dxa" w:w="4608"/>
            <w:shd w:val="clear" w:color="auto" w:fill="F9F9F9"/>
          </w:tcPr>
          <w:p>
            <w:pPr>
              <w:spacing w:after="0"/>
            </w:pPr>
            <w:r>
              <w:rPr>
                <w:rFonts w:ascii="Arial" w:hAnsi="Arial"/>
                <w:b w:val="0"/>
                <w:sz w:val="18"/>
              </w:rPr>
            </w:r>
          </w:p>
        </w:tc>
      </w:tr>
      <w:tr>
        <w:tc>
          <w:tcPr>
            <w:tcW w:type="dxa" w:w="1872"/>
            <w:shd w:val="clear" w:color="auto" w:fill="FFFFFF"/>
          </w:tcPr>
          <w:p>
            <w:pPr>
              <w:spacing w:after="0"/>
            </w:pPr>
            <w:r>
              <w:rPr>
                <w:rFonts w:ascii="Arial" w:hAnsi="Arial"/>
                <w:b w:val="0"/>
                <w:sz w:val="18"/>
              </w:rPr>
              <w:t>Alkali</w:t>
            </w:r>
          </w:p>
        </w:tc>
        <w:tc>
          <w:tcPr>
            <w:tcW w:type="dxa" w:w="2304"/>
            <w:shd w:val="clear" w:color="auto" w:fill="FFFFFF"/>
          </w:tcPr>
          <w:p>
            <w:pPr>
              <w:spacing w:after="0"/>
            </w:pPr>
            <w:r>
              <w:rPr>
                <w:rFonts w:ascii="Arial" w:hAnsi="Arial"/>
                <w:b w:val="0"/>
                <w:sz w:val="18"/>
              </w:rPr>
              <w:t>Caustic Soda Flakes</w:t>
            </w:r>
          </w:p>
        </w:tc>
        <w:tc>
          <w:tcPr>
            <w:tcW w:type="dxa" w:w="1296"/>
            <w:shd w:val="clear" w:color="auto" w:fill="FFFFFF"/>
          </w:tcPr>
          <w:p>
            <w:pPr>
              <w:spacing w:after="0"/>
            </w:pPr>
            <w:r>
              <w:rPr>
                <w:rFonts w:ascii="Arial" w:hAnsi="Arial"/>
                <w:b w:val="0"/>
                <w:sz w:val="18"/>
              </w:rPr>
              <w:t>2.0%–3.0%</w:t>
            </w:r>
          </w:p>
        </w:tc>
        <w:tc>
          <w:tcPr>
            <w:tcW w:type="dxa" w:w="4608"/>
            <w:shd w:val="clear" w:color="auto" w:fill="FFFFFF"/>
          </w:tcPr>
          <w:p>
            <w:pPr>
              <w:spacing w:after="0"/>
            </w:pPr>
            <w:r>
              <w:rPr>
                <w:rFonts w:ascii="Arial" w:hAnsi="Arial"/>
                <w:b w:val="0"/>
                <w:sz w:val="18"/>
              </w:rPr>
            </w:r>
          </w:p>
        </w:tc>
      </w:tr>
      <w:tr>
        <w:tc>
          <w:tcPr>
            <w:tcW w:type="dxa" w:w="1872"/>
            <w:shd w:val="clear" w:color="auto" w:fill="F9F9F9"/>
          </w:tcPr>
          <w:p>
            <w:pPr>
              <w:spacing w:after="0"/>
            </w:pPr>
            <w:r>
              <w:rPr>
                <w:rFonts w:ascii="Arial" w:hAnsi="Arial"/>
                <w:b w:val="0"/>
                <w:sz w:val="18"/>
              </w:rPr>
              <w:t>Oxidative Bleaching Agent</w:t>
            </w:r>
          </w:p>
        </w:tc>
        <w:tc>
          <w:tcPr>
            <w:tcW w:type="dxa" w:w="2304"/>
            <w:shd w:val="clear" w:color="auto" w:fill="F9F9F9"/>
          </w:tcPr>
          <w:p>
            <w:pPr>
              <w:spacing w:after="0"/>
            </w:pPr>
            <w:r>
              <w:rPr>
                <w:rFonts w:ascii="Arial" w:hAnsi="Arial"/>
                <w:b w:val="0"/>
                <w:sz w:val="18"/>
              </w:rPr>
              <w:t>Hydrogen Peroxide 50%</w:t>
            </w:r>
          </w:p>
        </w:tc>
        <w:tc>
          <w:tcPr>
            <w:tcW w:type="dxa" w:w="1296"/>
            <w:shd w:val="clear" w:color="auto" w:fill="F9F9F9"/>
          </w:tcPr>
          <w:p>
            <w:pPr>
              <w:spacing w:after="0"/>
            </w:pPr>
            <w:r>
              <w:rPr>
                <w:rFonts w:ascii="Arial" w:hAnsi="Arial"/>
                <w:b w:val="0"/>
                <w:sz w:val="18"/>
              </w:rPr>
              <w:t>6.0%–8.0%</w:t>
            </w:r>
          </w:p>
        </w:tc>
        <w:tc>
          <w:tcPr>
            <w:tcW w:type="dxa" w:w="4608"/>
            <w:shd w:val="clear" w:color="auto" w:fill="F9F9F9"/>
          </w:tcPr>
          <w:p>
            <w:pPr>
              <w:spacing w:after="0"/>
            </w:pPr>
            <w:r>
              <w:rPr>
                <w:rFonts w:ascii="Arial" w:hAnsi="Arial"/>
                <w:b w:val="0"/>
                <w:sz w:val="18"/>
              </w:rPr>
            </w:r>
          </w:p>
        </w:tc>
      </w:tr>
      <w:tr>
        <w:tc>
          <w:tcPr>
            <w:tcW w:type="dxa" w:w="1872"/>
            <w:shd w:val="clear" w:color="auto" w:fill="FFFFFF"/>
          </w:tcPr>
          <w:p>
            <w:pPr>
              <w:spacing w:after="0"/>
            </w:pPr>
            <w:r>
              <w:rPr>
                <w:rFonts w:ascii="Arial" w:hAnsi="Arial"/>
                <w:b w:val="0"/>
                <w:sz w:val="18"/>
              </w:rPr>
              <w:t>OBA (Base)</w:t>
            </w:r>
          </w:p>
        </w:tc>
        <w:tc>
          <w:tcPr>
            <w:tcW w:type="dxa" w:w="2304"/>
            <w:shd w:val="clear" w:color="auto" w:fill="FFFFFF"/>
          </w:tcPr>
          <w:p>
            <w:pPr>
              <w:spacing w:after="0"/>
            </w:pPr>
            <w:r>
              <w:rPr>
                <w:rFonts w:ascii="Arial" w:hAnsi="Arial"/>
                <w:b/>
                <w:sz w:val="18"/>
              </w:rPr>
              <w:t>ZETABRIGHT HCF</w:t>
            </w:r>
          </w:p>
        </w:tc>
        <w:tc>
          <w:tcPr>
            <w:tcW w:type="dxa" w:w="1296"/>
            <w:shd w:val="clear" w:color="auto" w:fill="FFFFFF"/>
          </w:tcPr>
          <w:p>
            <w:pPr>
              <w:spacing w:after="0"/>
            </w:pPr>
            <w:r>
              <w:rPr>
                <w:rFonts w:ascii="Arial" w:hAnsi="Arial"/>
                <w:b w:val="0"/>
                <w:sz w:val="18"/>
              </w:rPr>
              <w:t>0.7%–1.0%</w:t>
            </w:r>
          </w:p>
        </w:tc>
        <w:tc>
          <w:tcPr>
            <w:tcW w:type="dxa" w:w="4608"/>
            <w:shd w:val="clear" w:color="auto" w:fill="FFFFFF"/>
          </w:tcPr>
          <w:p>
            <w:pPr>
              <w:spacing w:after="0"/>
            </w:pPr>
            <w:r>
              <w:rPr>
                <w:rFonts w:ascii="Arial" w:hAnsi="Arial"/>
                <w:b w:val="0"/>
                <w:sz w:val="18"/>
              </w:rPr>
            </w:r>
          </w:p>
        </w:tc>
      </w:tr>
      <w:tr>
        <w:tc>
          <w:tcPr>
            <w:tcW w:type="dxa" w:w="1872"/>
            <w:shd w:val="clear" w:color="auto" w:fill="F9F9F9"/>
          </w:tcPr>
          <w:p>
            <w:pPr>
              <w:spacing w:after="0"/>
            </w:pPr>
            <w:r>
              <w:rPr>
                <w:rFonts w:ascii="Arial" w:hAnsi="Arial"/>
                <w:b w:val="0"/>
                <w:sz w:val="18"/>
              </w:rPr>
              <w:t>OBA (Tint)</w:t>
            </w:r>
          </w:p>
        </w:tc>
        <w:tc>
          <w:tcPr>
            <w:tcW w:type="dxa" w:w="2304"/>
            <w:shd w:val="clear" w:color="auto" w:fill="F9F9F9"/>
          </w:tcPr>
          <w:p>
            <w:pPr>
              <w:spacing w:after="0"/>
            </w:pPr>
            <w:r>
              <w:rPr>
                <w:rFonts w:ascii="Arial" w:hAnsi="Arial"/>
                <w:b/>
                <w:sz w:val="18"/>
              </w:rPr>
              <w:t>ZETABRIGHT BB</w:t>
            </w:r>
          </w:p>
        </w:tc>
        <w:tc>
          <w:tcPr>
            <w:tcW w:type="dxa" w:w="1296"/>
            <w:shd w:val="clear" w:color="auto" w:fill="F9F9F9"/>
          </w:tcPr>
          <w:p>
            <w:pPr>
              <w:spacing w:after="0"/>
            </w:pPr>
            <w:r>
              <w:rPr>
                <w:rFonts w:ascii="Arial" w:hAnsi="Arial"/>
                <w:b w:val="0"/>
                <w:sz w:val="18"/>
              </w:rPr>
              <w:t>0.02%–0.1%</w:t>
            </w:r>
          </w:p>
        </w:tc>
        <w:tc>
          <w:tcPr>
            <w:tcW w:type="dxa" w:w="4608"/>
            <w:shd w:val="clear" w:color="auto" w:fill="F9F9F9"/>
          </w:tcPr>
          <w:p>
            <w:pPr>
              <w:spacing w:after="0"/>
            </w:pPr>
            <w:r>
              <w:rPr>
                <w:rFonts w:ascii="Arial" w:hAnsi="Arial"/>
                <w:b w:val="0"/>
                <w:sz w:val="18"/>
              </w:rPr>
            </w:r>
          </w:p>
        </w:tc>
      </w:tr>
    </w:tbl>
    <w:p/>
    <w:p/>
    <w:p>
      <w:pPr>
        <w:spacing w:before="160"/>
        <w:pBdr>
          <w:top w:val="single" w:sz="4" w:space="1" w:color="CCCCCC"/>
        </w:pBdr>
      </w:pPr>
      <w:r>
        <w:rPr>
          <w:rFonts w:ascii="Arial" w:hAnsi="Arial"/>
          <w:b/>
          <w:color w:val="555555"/>
          <w:sz w:val="16"/>
        </w:rPr>
        <w:t xml:space="preserve">Disclaimer: </w:t>
      </w:r>
      <w:r>
        <w:rPr>
          <w:rFonts w:ascii="Arial" w:hAnsi="Arial"/>
          <w:color w:val="666666"/>
          <w:sz w:val="16"/>
        </w:rPr>
        <w:t>Biochem Technologies retains the right to alter product and technical information. We assure that our products will meet Biochem Technologies’ specifications, with our liability limited to product replacement. The information provided in this datasheet serves as a guideline, believed to be accurate. Users are advised to assess recommendations before actual application. Safety Data Sheet (SDS) is available upon request.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Biochem Technologies  |  www.biochemtechnologies.com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Pr>
    <w:tblGrid>
      <w:gridCol w:w="4514"/>
      <w:gridCol w:w="4514"/>
    </w:tblGrid>
    <w:tr>
      <w:tc>
        <w:tcPr>
          <w:tcW w:type="dxa" w:w="5040"/>
        </w:tcPr>
        <w:p>
          <w:r>
            <w:rPr>
              <w:rFonts w:ascii="Arial" w:hAnsi="Arial"/>
              <w:b/>
              <w:color w:val="888888"/>
              <w:sz w:val="16"/>
            </w:rPr>
            <w:t>TECHNICAL DATA SHEET</w:t>
          </w:r>
        </w:p>
      </w:tc>
      <w:tc>
        <w:tcPr>
          <w:tcW w:type="dxa" w:w="3989"/>
        </w:tcPr>
        <w:p>
          <w:pPr>
            <w:jc w:val="right"/>
          </w:pPr>
          <w:r>
            <w:rPr>
              <w:rFonts w:ascii="Arial" w:hAnsi="Arial"/>
              <w:b/>
              <w:color w:val="0057B8"/>
              <w:sz w:val="22"/>
            </w:rPr>
            <w:t>BIOCHEM TECHNOLOGIES</w:t>
          </w:r>
        </w:p>
      </w:tc>
    </w:tr>
  </w:tbl>
  <w:p>
    <w:pPr>
      <w:spacing w:after="0"/>
      <w:pBdr>
        <w:bottom w:val="single" w:sz="12" w:space="1" w:color="0057B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