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pPr>
      <w:r>
        <w:rPr>
          <w:rFonts w:ascii="Arial" w:hAnsi="Arial"/>
          <w:b/>
          <w:color w:val="0057B8"/>
          <w:sz w:val="44"/>
        </w:rPr>
        <w:t>ZETALUB EAC</w:t>
      </w:r>
    </w:p>
    <w:p>
      <w:pPr>
        <w:spacing w:after="320"/>
      </w:pPr>
      <w:r>
        <w:rPr>
          <w:rFonts w:ascii="Arial" w:hAnsi="Arial"/>
          <w:color w:val="555555"/>
          <w:sz w:val="20"/>
        </w:rPr>
        <w:t>LUBRICATING AGENT</w:t>
      </w:r>
    </w:p>
    <w:p>
      <w:pPr>
        <w:spacing w:after="240"/>
        <w:pBdr>
          <w:bottom w:val="single" w:sz="4" w:space="1" w:color="CCCCCC"/>
        </w:pBdr>
      </w:pPr>
    </w:p>
    <w:p>
      <w:pPr>
        <w:spacing w:before="280" w:after="80"/>
        <w:pBdr>
          <w:bottom w:val="single" w:sz="6" w:space="1" w:color="0057B8"/>
        </w:pBdr>
      </w:pPr>
      <w:r>
        <w:rPr>
          <w:rFonts w:ascii="Arial" w:hAnsi="Arial"/>
          <w:b/>
          <w:color w:val="0057B8"/>
          <w:sz w:val="24"/>
        </w:rPr>
        <w:t>Product Description:</w:t>
      </w:r>
    </w:p>
    <w:p>
      <w:pPr>
        <w:spacing w:after="120"/>
      </w:pPr>
      <w:r>
        <w:rPr>
          <w:rFonts w:ascii="Arial" w:hAnsi="Arial"/>
          <w:color w:val="333333"/>
          <w:sz w:val="20"/>
        </w:rPr>
        <w:t>Zetalub EAC is a very effective lubricating agent designed to combat the challenges of creasing, wrinkling, and chafe marks encountered in textile wet processing. Crafted as an aqueous preparation of anionic acrylamide polymer and fatty ester mixture, it seamlessly integrates into various dyeing shades. By addressing fabric-to-fabric and fabric-to-metal friction, Zetalub EAC forms a thin, uniform protective coating around fibres, effectively minimising the formation of durable creases. Key features include imparting a soft handle to yarn, maintaining dye shade and fastness properties, and compatibility across different bath conditions. With a clear, colourless, highly viscous liquid appearance and an approximate pH of 6.0 to 8.0, Zetalub EAC offers reliability and efficiency in textile processing.</w:t>
      </w:r>
    </w:p>
    <w:p>
      <w:pPr>
        <w:spacing w:before="280" w:after="80"/>
        <w:pBdr>
          <w:bottom w:val="single" w:sz="6" w:space="1" w:color="0057B8"/>
        </w:pBdr>
      </w:pPr>
      <w:r>
        <w:rPr>
          <w:rFonts w:ascii="Arial" w:hAnsi="Arial"/>
          <w:b/>
          <w:color w:val="0057B8"/>
          <w:sz w:val="24"/>
        </w:rPr>
        <w:t>Key Benefits:</w:t>
      </w:r>
    </w:p>
    <w:p>
      <w:pPr>
        <w:spacing w:after="80"/>
        <w:ind w:left="360"/>
      </w:pPr>
      <w:r>
        <w:rPr>
          <w:rFonts w:ascii="Arial" w:hAnsi="Arial"/>
          <w:b/>
          <w:sz w:val="20"/>
        </w:rPr>
        <w:t>1. Smooth Gliding &amp; Soft Handle:</w:t>
      </w:r>
      <w:r>
        <w:rPr>
          <w:rFonts w:ascii="Arial" w:hAnsi="Arial"/>
          <w:color w:val="333333"/>
          <w:sz w:val="20"/>
        </w:rPr>
        <w:t xml:space="preserve"> Imparts a smooth gliding effect and an exquisite soft handle to yarn during processing.</w:t>
      </w:r>
    </w:p>
    <w:p>
      <w:pPr>
        <w:spacing w:after="80"/>
        <w:ind w:left="360"/>
      </w:pPr>
      <w:r>
        <w:rPr>
          <w:rFonts w:ascii="Arial" w:hAnsi="Arial"/>
          <w:b/>
          <w:sz w:val="20"/>
        </w:rPr>
        <w:t>2. Friction Reduction:</w:t>
      </w:r>
      <w:r>
        <w:rPr>
          <w:rFonts w:ascii="Arial" w:hAnsi="Arial"/>
          <w:color w:val="333333"/>
          <w:sz w:val="20"/>
        </w:rPr>
        <w:t xml:space="preserve"> Reduces friction between fibres and between fibres and metal surfaces, preventing crease marks.</w:t>
      </w:r>
    </w:p>
    <w:p>
      <w:pPr>
        <w:spacing w:after="80"/>
        <w:ind w:left="360"/>
      </w:pPr>
      <w:r>
        <w:rPr>
          <w:rFonts w:ascii="Arial" w:hAnsi="Arial"/>
          <w:b/>
          <w:sz w:val="20"/>
        </w:rPr>
        <w:t>3. Shade &amp; Fastness Preservation:</w:t>
      </w:r>
      <w:r>
        <w:rPr>
          <w:rFonts w:ascii="Arial" w:hAnsi="Arial"/>
          <w:color w:val="333333"/>
          <w:sz w:val="20"/>
        </w:rPr>
        <w:t xml:space="preserve"> Maintains dye shade and fastness properties without compromise, including polyester fibres dyed with disperse dyes.</w:t>
      </w:r>
    </w:p>
    <w:p>
      <w:pPr>
        <w:spacing w:after="80"/>
        <w:ind w:left="360"/>
      </w:pPr>
      <w:r>
        <w:rPr>
          <w:rFonts w:ascii="Arial" w:hAnsi="Arial"/>
          <w:b/>
          <w:sz w:val="20"/>
        </w:rPr>
        <w:t>4. Broad Bath Compatibility:</w:t>
      </w:r>
      <w:r>
        <w:rPr>
          <w:rFonts w:ascii="Arial" w:hAnsi="Arial"/>
          <w:color w:val="333333"/>
          <w:sz w:val="20"/>
        </w:rPr>
        <w:t xml:space="preserve"> Resilient against fluctuations in pH, electrolytes, and water hardness.</w:t>
      </w:r>
    </w:p>
    <w:p>
      <w:pPr>
        <w:spacing w:after="80"/>
        <w:ind w:left="360"/>
      </w:pPr>
      <w:r>
        <w:rPr>
          <w:rFonts w:ascii="Arial" w:hAnsi="Arial"/>
          <w:b/>
          <w:sz w:val="20"/>
        </w:rPr>
        <w:t>5. Wide Application Range:</w:t>
      </w:r>
      <w:r>
        <w:rPr>
          <w:rFonts w:ascii="Arial" w:hAnsi="Arial"/>
          <w:color w:val="333333"/>
          <w:sz w:val="20"/>
        </w:rPr>
        <w:t xml:space="preserve"> Suitable for usage across all stages of textile wet processing, from pre-treatment to dyeing baths.</w:t>
      </w:r>
    </w:p>
    <w:p>
      <w:pPr>
        <w:spacing w:after="80"/>
        <w:ind w:left="360"/>
      </w:pPr>
      <w:r>
        <w:rPr>
          <w:rFonts w:ascii="Arial" w:hAnsi="Arial"/>
          <w:b/>
          <w:sz w:val="20"/>
        </w:rPr>
        <w:t>6. Anionic Nature:</w:t>
      </w:r>
      <w:r>
        <w:rPr>
          <w:rFonts w:ascii="Arial" w:hAnsi="Arial"/>
          <w:color w:val="333333"/>
          <w:sz w:val="20"/>
        </w:rPr>
        <w:t xml:space="preserve"> Anionic character makes it suitable for a wide range of dyeing applications.</w:t>
      </w:r>
    </w:p>
    <w:p>
      <w:pPr>
        <w:spacing w:after="80"/>
        <w:ind w:left="360"/>
      </w:pPr>
      <w:r>
        <w:rPr>
          <w:rFonts w:ascii="Arial" w:hAnsi="Arial"/>
          <w:b/>
          <w:sz w:val="20"/>
        </w:rPr>
        <w:t>7. Recommended Dosage:</w:t>
      </w:r>
      <w:r>
        <w:rPr>
          <w:rFonts w:ascii="Arial" w:hAnsi="Arial"/>
          <w:color w:val="333333"/>
          <w:sz w:val="20"/>
        </w:rPr>
        <w:t xml:space="preserve"> 0.5% to 1.0%, particularly in high-temperature processing scenarios.</w:t>
      </w:r>
    </w:p>
    <w:p/>
    <w:p>
      <w:pPr>
        <w:spacing w:before="280" w:after="80"/>
        <w:pBdr>
          <w:bottom w:val="single" w:sz="6" w:space="1" w:color="0057B8"/>
        </w:pBdr>
      </w:pPr>
      <w:r>
        <w:rPr>
          <w:rFonts w:ascii="Arial" w:hAnsi="Arial"/>
          <w:b/>
          <w:color w:val="0057B8"/>
          <w:sz w:val="24"/>
        </w:rPr>
        <w:t>Properties:</w:t>
      </w:r>
    </w:p>
    <w:tbl>
      <w:tblPr>
        <w:tblStyle w:val="TableGrid"/>
        <w:tblW w:type="auto" w:w="0"/>
        <w:tblLook w:firstColumn="1" w:firstRow="1" w:lastColumn="0" w:lastRow="0" w:noHBand="0" w:noVBand="1" w:val="04A0"/>
      </w:tblPr>
      <w:tblGrid>
        <w:gridCol w:w="4514"/>
        <w:gridCol w:w="4514"/>
      </w:tblGrid>
      <w:tr>
        <w:tc>
          <w:tcPr>
            <w:tcW w:type="dxa" w:w="3600"/>
            <w:shd w:val="clear" w:color="auto" w:fill="E8EEF6"/>
          </w:tcPr>
          <w:p>
            <w:pPr>
              <w:spacing w:after="40"/>
            </w:pPr>
            <w:r>
              <w:rPr>
                <w:rFonts w:ascii="Arial" w:hAnsi="Arial"/>
                <w:b/>
                <w:sz w:val="19"/>
              </w:rPr>
              <w:t>Chemical Constitution</w:t>
            </w:r>
          </w:p>
        </w:tc>
        <w:tc>
          <w:tcPr>
            <w:tcW w:type="dxa" w:w="6480"/>
            <w:shd w:val="clear" w:color="auto" w:fill="F2F2F2"/>
          </w:tcPr>
          <w:p>
            <w:pPr>
              <w:spacing w:after="40"/>
            </w:pPr>
            <w:r>
              <w:rPr>
                <w:rFonts w:ascii="Arial" w:hAnsi="Arial"/>
                <w:sz w:val="19"/>
              </w:rPr>
              <w:t>Aqueous preparation of acrylamide and fatty ester polymer</w:t>
            </w:r>
          </w:p>
        </w:tc>
      </w:tr>
      <w:tr>
        <w:tc>
          <w:tcPr>
            <w:tcW w:type="dxa" w:w="3600"/>
            <w:shd w:val="clear" w:color="auto" w:fill="E8EEF6"/>
          </w:tcPr>
          <w:p>
            <w:pPr>
              <w:spacing w:after="40"/>
            </w:pPr>
            <w:r>
              <w:rPr>
                <w:rFonts w:ascii="Arial" w:hAnsi="Arial"/>
                <w:b/>
                <w:sz w:val="19"/>
              </w:rPr>
              <w:t>Ionic Character</w:t>
            </w:r>
          </w:p>
        </w:tc>
        <w:tc>
          <w:tcPr>
            <w:tcW w:type="dxa" w:w="6480"/>
            <w:shd w:val="clear" w:color="auto" w:fill="FFFFFF"/>
          </w:tcPr>
          <w:p>
            <w:pPr>
              <w:spacing w:after="40"/>
            </w:pPr>
            <w:r>
              <w:rPr>
                <w:rFonts w:ascii="Arial" w:hAnsi="Arial"/>
                <w:sz w:val="19"/>
              </w:rPr>
              <w:t>Anionic</w:t>
            </w:r>
          </w:p>
        </w:tc>
      </w:tr>
      <w:tr>
        <w:tc>
          <w:tcPr>
            <w:tcW w:type="dxa" w:w="3600"/>
            <w:shd w:val="clear" w:color="auto" w:fill="E8EEF6"/>
          </w:tcPr>
          <w:p>
            <w:pPr>
              <w:spacing w:after="40"/>
            </w:pPr>
            <w:r>
              <w:rPr>
                <w:rFonts w:ascii="Arial" w:hAnsi="Arial"/>
                <w:b/>
                <w:sz w:val="19"/>
              </w:rPr>
              <w:t>pH</w:t>
            </w:r>
          </w:p>
        </w:tc>
        <w:tc>
          <w:tcPr>
            <w:tcW w:type="dxa" w:w="6480"/>
            <w:shd w:val="clear" w:color="auto" w:fill="F2F2F2"/>
          </w:tcPr>
          <w:p>
            <w:pPr>
              <w:spacing w:after="40"/>
            </w:pPr>
            <w:r>
              <w:rPr>
                <w:rFonts w:ascii="Arial" w:hAnsi="Arial"/>
                <w:sz w:val="19"/>
              </w:rPr>
              <w:t>6 – 8</w:t>
            </w:r>
          </w:p>
        </w:tc>
      </w:tr>
      <w:tr>
        <w:tc>
          <w:tcPr>
            <w:tcW w:type="dxa" w:w="3600"/>
            <w:shd w:val="clear" w:color="auto" w:fill="E8EEF6"/>
          </w:tcPr>
          <w:p>
            <w:pPr>
              <w:spacing w:after="40"/>
            </w:pPr>
            <w:r>
              <w:rPr>
                <w:rFonts w:ascii="Arial" w:hAnsi="Arial"/>
                <w:b/>
                <w:sz w:val="19"/>
              </w:rPr>
              <w:t>Specific Gravity at 20°C</w:t>
            </w:r>
          </w:p>
        </w:tc>
        <w:tc>
          <w:tcPr>
            <w:tcW w:type="dxa" w:w="6480"/>
            <w:shd w:val="clear" w:color="auto" w:fill="FFFFFF"/>
          </w:tcPr>
          <w:p>
            <w:pPr>
              <w:spacing w:after="40"/>
            </w:pPr>
            <w:r>
              <w:rPr>
                <w:rFonts w:ascii="Arial" w:hAnsi="Arial"/>
                <w:sz w:val="19"/>
              </w:rPr>
              <w:t>1.1 gm/cc</w:t>
            </w:r>
          </w:p>
        </w:tc>
      </w:tr>
      <w:tr>
        <w:tc>
          <w:tcPr>
            <w:tcW w:type="dxa" w:w="3600"/>
            <w:shd w:val="clear" w:color="auto" w:fill="E8EEF6"/>
          </w:tcPr>
          <w:p>
            <w:pPr>
              <w:spacing w:after="40"/>
            </w:pPr>
            <w:r>
              <w:rPr>
                <w:rFonts w:ascii="Arial" w:hAnsi="Arial"/>
                <w:b/>
                <w:sz w:val="19"/>
              </w:rPr>
              <w:t>Physical Form</w:t>
            </w:r>
          </w:p>
        </w:tc>
        <w:tc>
          <w:tcPr>
            <w:tcW w:type="dxa" w:w="6480"/>
            <w:shd w:val="clear" w:color="auto" w:fill="F2F2F2"/>
          </w:tcPr>
          <w:p>
            <w:pPr>
              <w:spacing w:after="40"/>
            </w:pPr>
            <w:r>
              <w:rPr>
                <w:rFonts w:ascii="Arial" w:hAnsi="Arial"/>
                <w:sz w:val="19"/>
              </w:rPr>
              <w:t>Clear to slightly hazy liquid</w:t>
            </w:r>
          </w:p>
        </w:tc>
      </w:tr>
      <w:tr>
        <w:tc>
          <w:tcPr>
            <w:tcW w:type="dxa" w:w="3600"/>
            <w:shd w:val="clear" w:color="auto" w:fill="E8EEF6"/>
          </w:tcPr>
          <w:p>
            <w:pPr>
              <w:spacing w:after="40"/>
            </w:pPr>
            <w:r>
              <w:rPr>
                <w:rFonts w:ascii="Arial" w:hAnsi="Arial"/>
                <w:b/>
                <w:sz w:val="19"/>
              </w:rPr>
              <w:t>Storage Stability</w:t>
            </w:r>
          </w:p>
        </w:tc>
        <w:tc>
          <w:tcPr>
            <w:tcW w:type="dxa" w:w="6480"/>
            <w:shd w:val="clear" w:color="auto" w:fill="FFFFFF"/>
          </w:tcPr>
          <w:p>
            <w:pPr>
              <w:spacing w:after="40"/>
            </w:pPr>
            <w:r>
              <w:rPr>
                <w:rFonts w:ascii="Arial" w:hAnsi="Arial"/>
                <w:sz w:val="19"/>
              </w:rPr>
              <w:t>Stable for 1 year at 20°C; sensitive above 50°C and below 0°C</w:t>
            </w:r>
          </w:p>
        </w:tc>
      </w:tr>
      <w:tr>
        <w:tc>
          <w:tcPr>
            <w:tcW w:type="dxa" w:w="3600"/>
            <w:shd w:val="clear" w:color="auto" w:fill="E8EEF6"/>
          </w:tcPr>
          <w:p>
            <w:pPr>
              <w:spacing w:after="40"/>
            </w:pPr>
            <w:r>
              <w:rPr>
                <w:rFonts w:ascii="Arial" w:hAnsi="Arial"/>
                <w:b/>
                <w:sz w:val="19"/>
              </w:rPr>
              <w:t>Stability to Alkalis</w:t>
            </w:r>
          </w:p>
        </w:tc>
        <w:tc>
          <w:tcPr>
            <w:tcW w:type="dxa" w:w="6480"/>
            <w:shd w:val="clear" w:color="auto" w:fill="F2F2F2"/>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Acids</w:t>
            </w:r>
          </w:p>
        </w:tc>
        <w:tc>
          <w:tcPr>
            <w:tcW w:type="dxa" w:w="6480"/>
            <w:shd w:val="clear" w:color="auto" w:fill="FFFFFF"/>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Oxidants</w:t>
            </w:r>
          </w:p>
        </w:tc>
        <w:tc>
          <w:tcPr>
            <w:tcW w:type="dxa" w:w="6480"/>
            <w:shd w:val="clear" w:color="auto" w:fill="F2F2F2"/>
          </w:tcPr>
          <w:p>
            <w:pPr>
              <w:spacing w:after="40"/>
            </w:pPr>
            <w:r>
              <w:rPr>
                <w:rFonts w:ascii="Arial" w:hAnsi="Arial"/>
                <w:sz w:val="19"/>
              </w:rPr>
              <w:t>Very Good</w:t>
            </w:r>
          </w:p>
        </w:tc>
      </w:tr>
    </w:tbl>
    <w:p/>
    <w:p>
      <w:pPr>
        <w:spacing w:before="280" w:after="80"/>
        <w:pBdr>
          <w:bottom w:val="single" w:sz="6" w:space="1" w:color="0057B8"/>
        </w:pBdr>
      </w:pPr>
      <w:r>
        <w:rPr>
          <w:rFonts w:ascii="Arial" w:hAnsi="Arial"/>
          <w:b/>
          <w:color w:val="0057B8"/>
          <w:sz w:val="24"/>
        </w:rPr>
        <w:t>Applications:</w:t>
      </w:r>
    </w:p>
    <w:p>
      <w:pPr>
        <w:spacing w:before="200" w:after="60"/>
      </w:pPr>
      <w:r>
        <w:rPr>
          <w:rFonts w:ascii="Arial" w:hAnsi="Arial"/>
          <w:b/>
          <w:i/>
          <w:color w:val="333333"/>
          <w:sz w:val="20"/>
        </w:rPr>
        <w:t>1. Scouring &amp; Oxidative Bleaching Bath — RFD / RFP Fabrics</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val="clear" w:color="auto" w:fill="111111"/>
          </w:tcPr>
          <w:p>
            <w:pPr>
              <w:spacing w:after="0"/>
            </w:pPr>
            <w:r>
              <w:rPr>
                <w:rFonts w:ascii="Arial" w:hAnsi="Arial"/>
                <w:b/>
                <w:color w:val="FFFFFF"/>
                <w:sz w:val="18"/>
              </w:rPr>
              <w:t>Function</w:t>
            </w:r>
          </w:p>
        </w:tc>
        <w:tc>
          <w:tcPr>
            <w:tcW w:type="dxa" w:w="2160"/>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709"/>
            <w:shd w:val="clear" w:color="auto" w:fill="111111"/>
          </w:tcPr>
          <w:p>
            <w:pPr>
              <w:spacing w:after="0"/>
            </w:pPr>
            <w:r>
              <w:rPr>
                <w:rFonts w:ascii="Arial" w:hAnsi="Arial"/>
                <w:b/>
                <w:color w:val="FFFFFF"/>
                <w:sz w:val="18"/>
              </w:rPr>
              <w:t>Parameters &amp; Conditions</w:t>
            </w:r>
          </w:p>
        </w:tc>
      </w:tr>
      <w:tr>
        <w:tc>
          <w:tcPr>
            <w:tcW w:type="dxa" w:w="2016"/>
            <w:shd w:val="clear" w:color="auto" w:fill="FFFFFF"/>
          </w:tcPr>
          <w:p>
            <w:pPr>
              <w:spacing w:after="0"/>
            </w:pPr>
            <w:r>
              <w:rPr>
                <w:rFonts w:ascii="Arial" w:hAnsi="Arial"/>
                <w:b w:val="0"/>
                <w:sz w:val="18"/>
              </w:rPr>
              <w:t>Lubricating Agent</w:t>
            </w:r>
          </w:p>
        </w:tc>
        <w:tc>
          <w:tcPr>
            <w:tcW w:type="dxa" w:w="2160"/>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709"/>
            <w:shd w:val="clear" w:color="auto" w:fill="FFFFFF"/>
          </w:tcPr>
          <w:p>
            <w:pPr>
              <w:spacing w:after="0"/>
            </w:pPr>
            <w:r>
              <w:rPr>
                <w:rFonts w:ascii="Arial" w:hAnsi="Arial"/>
                <w:b w:val="0"/>
                <w:sz w:val="18"/>
              </w:rPr>
              <w:t>Auxiliary dosing – raise to 60°C – Caustic Soda dosing (2 cycles) – H₂O₂ 50% dosing (2 cycles) – raise to optimum temp &amp; hold (95°C × 45–60 min or 110°C × 20–30 min) – Drain at 80°C</w:t>
            </w:r>
          </w:p>
        </w:tc>
      </w:tr>
      <w:tr>
        <w:tc>
          <w:tcPr>
            <w:tcW w:type="dxa" w:w="2016"/>
            <w:shd w:val="clear" w:color="auto" w:fill="F9F9F9"/>
          </w:tcPr>
          <w:p>
            <w:pPr>
              <w:spacing w:after="0"/>
            </w:pPr>
            <w:r>
              <w:rPr>
                <w:rFonts w:ascii="Arial" w:hAnsi="Arial"/>
                <w:b w:val="0"/>
                <w:sz w:val="18"/>
              </w:rPr>
              <w:t>Wetting Agent</w:t>
            </w:r>
          </w:p>
        </w:tc>
        <w:tc>
          <w:tcPr>
            <w:tcW w:type="dxa" w:w="2160"/>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0.4%–0.6%</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Sequestering Agent</w:t>
            </w:r>
          </w:p>
        </w:tc>
        <w:tc>
          <w:tcPr>
            <w:tcW w:type="dxa" w:w="2160"/>
            <w:shd w:val="clear" w:color="auto" w:fill="FFFFFF"/>
          </w:tcPr>
          <w:p>
            <w:pPr>
              <w:spacing w:after="0"/>
            </w:pPr>
            <w:r>
              <w:rPr>
                <w:rFonts w:ascii="Arial" w:hAnsi="Arial"/>
                <w:b/>
                <w:sz w:val="18"/>
              </w:rPr>
              <w:t>Zetaplex SQT CONC</w:t>
            </w:r>
          </w:p>
        </w:tc>
        <w:tc>
          <w:tcPr>
            <w:tcW w:type="dxa" w:w="1296"/>
            <w:shd w:val="clear" w:color="auto" w:fill="FFFFFF"/>
          </w:tcPr>
          <w:p>
            <w:pPr>
              <w:spacing w:after="0"/>
            </w:pPr>
            <w:r>
              <w:rPr>
                <w:rFonts w:ascii="Arial" w:hAnsi="Arial"/>
                <w:b w:val="0"/>
                <w:sz w:val="18"/>
              </w:rPr>
              <w:t>0.3%–0.5%</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Peroxide Stabilizer</w:t>
            </w:r>
          </w:p>
        </w:tc>
        <w:tc>
          <w:tcPr>
            <w:tcW w:type="dxa" w:w="2160"/>
            <w:shd w:val="clear" w:color="auto" w:fill="F9F9F9"/>
          </w:tcPr>
          <w:p>
            <w:pPr>
              <w:spacing w:after="0"/>
            </w:pPr>
            <w:r>
              <w:rPr>
                <w:rFonts w:ascii="Arial" w:hAnsi="Arial"/>
                <w:b/>
                <w:sz w:val="18"/>
              </w:rPr>
              <w:t>Zetastab BR</w:t>
            </w:r>
          </w:p>
        </w:tc>
        <w:tc>
          <w:tcPr>
            <w:tcW w:type="dxa" w:w="1296"/>
            <w:shd w:val="clear" w:color="auto" w:fill="F9F9F9"/>
          </w:tcPr>
          <w:p>
            <w:pPr>
              <w:spacing w:after="0"/>
            </w:pPr>
            <w:r>
              <w:rPr>
                <w:rFonts w:ascii="Arial" w:hAnsi="Arial"/>
                <w:b w:val="0"/>
                <w:sz w:val="18"/>
              </w:rPr>
              <w:t>0.2%–0.3%</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Alkali</w:t>
            </w:r>
          </w:p>
        </w:tc>
        <w:tc>
          <w:tcPr>
            <w:tcW w:type="dxa" w:w="2160"/>
            <w:shd w:val="clear" w:color="auto" w:fill="FFFFFF"/>
          </w:tcPr>
          <w:p>
            <w:pPr>
              <w:spacing w:after="0"/>
            </w:pPr>
            <w:r>
              <w:rPr>
                <w:rFonts w:ascii="Arial" w:hAnsi="Arial"/>
                <w:b/>
                <w:sz w:val="18"/>
              </w:rPr>
              <w:t>Caustic Soda Flakes</w:t>
            </w:r>
          </w:p>
        </w:tc>
        <w:tc>
          <w:tcPr>
            <w:tcW w:type="dxa" w:w="1296"/>
            <w:shd w:val="clear" w:color="auto" w:fill="FFFFFF"/>
          </w:tcPr>
          <w:p>
            <w:pPr>
              <w:spacing w:after="0"/>
            </w:pPr>
            <w:r>
              <w:rPr>
                <w:rFonts w:ascii="Arial" w:hAnsi="Arial"/>
                <w:b w:val="0"/>
                <w:sz w:val="18"/>
              </w:rPr>
              <w:t>1.2%–2.5%</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Oxidative Bleaching Agent</w:t>
            </w:r>
          </w:p>
        </w:tc>
        <w:tc>
          <w:tcPr>
            <w:tcW w:type="dxa" w:w="2160"/>
            <w:shd w:val="clear" w:color="auto" w:fill="F9F9F9"/>
          </w:tcPr>
          <w:p>
            <w:pPr>
              <w:spacing w:after="0"/>
            </w:pPr>
            <w:r>
              <w:rPr>
                <w:rFonts w:ascii="Arial" w:hAnsi="Arial"/>
                <w:b/>
                <w:sz w:val="18"/>
              </w:rPr>
              <w:t>Hydrogen Peroxide 50%</w:t>
            </w:r>
          </w:p>
        </w:tc>
        <w:tc>
          <w:tcPr>
            <w:tcW w:type="dxa" w:w="1296"/>
            <w:shd w:val="clear" w:color="auto" w:fill="F9F9F9"/>
          </w:tcPr>
          <w:p>
            <w:pPr>
              <w:spacing w:after="0"/>
            </w:pPr>
            <w:r>
              <w:rPr>
                <w:rFonts w:ascii="Arial" w:hAnsi="Arial"/>
                <w:b w:val="0"/>
                <w:sz w:val="18"/>
              </w:rPr>
              <w:t>1.5%–3.0%</w:t>
            </w:r>
          </w:p>
        </w:tc>
        <w:tc>
          <w:tcPr>
            <w:tcW w:type="dxa" w:w="4709"/>
            <w:shd w:val="clear" w:color="auto" w:fill="F9F9F9"/>
          </w:tcPr>
          <w:p>
            <w:pPr>
              <w:spacing w:after="0"/>
            </w:pPr>
            <w:r>
              <w:rPr>
                <w:rFonts w:ascii="Arial" w:hAnsi="Arial"/>
                <w:b w:val="0"/>
                <w:sz w:val="18"/>
              </w:rPr>
            </w:r>
          </w:p>
        </w:tc>
      </w:tr>
    </w:tbl>
    <w:p/>
    <w:p>
      <w:pPr>
        <w:spacing w:before="200" w:after="60"/>
      </w:pPr>
      <w:r>
        <w:rPr>
          <w:rFonts w:ascii="Arial" w:hAnsi="Arial"/>
          <w:b/>
          <w:i/>
          <w:color w:val="333333"/>
          <w:sz w:val="20"/>
        </w:rPr>
        <w:t>2. Scouring &amp; Oxidative Bleaching Bath — Full White (FW) Fabrics</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val="clear" w:color="auto" w:fill="111111"/>
          </w:tcPr>
          <w:p>
            <w:pPr>
              <w:spacing w:after="0"/>
            </w:pPr>
            <w:r>
              <w:rPr>
                <w:rFonts w:ascii="Arial" w:hAnsi="Arial"/>
                <w:b/>
                <w:color w:val="FFFFFF"/>
                <w:sz w:val="18"/>
              </w:rPr>
              <w:t>Function</w:t>
            </w:r>
          </w:p>
        </w:tc>
        <w:tc>
          <w:tcPr>
            <w:tcW w:type="dxa" w:w="2160"/>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709"/>
            <w:shd w:val="clear" w:color="auto" w:fill="111111"/>
          </w:tcPr>
          <w:p>
            <w:pPr>
              <w:spacing w:after="0"/>
            </w:pPr>
            <w:r>
              <w:rPr>
                <w:rFonts w:ascii="Arial" w:hAnsi="Arial"/>
                <w:b/>
                <w:color w:val="FFFFFF"/>
                <w:sz w:val="18"/>
              </w:rPr>
              <w:t>Parameters &amp; Conditions</w:t>
            </w:r>
          </w:p>
        </w:tc>
      </w:tr>
      <w:tr>
        <w:tc>
          <w:tcPr>
            <w:tcW w:type="dxa" w:w="2016"/>
            <w:shd w:val="clear" w:color="auto" w:fill="FFFFFF"/>
          </w:tcPr>
          <w:p>
            <w:pPr>
              <w:spacing w:after="0"/>
            </w:pPr>
            <w:r>
              <w:rPr>
                <w:rFonts w:ascii="Arial" w:hAnsi="Arial"/>
                <w:b w:val="0"/>
                <w:sz w:val="18"/>
              </w:rPr>
              <w:t>Lubricating Agent</w:t>
            </w:r>
          </w:p>
        </w:tc>
        <w:tc>
          <w:tcPr>
            <w:tcW w:type="dxa" w:w="2160"/>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709"/>
            <w:shd w:val="clear" w:color="auto" w:fill="FFFFFF"/>
          </w:tcPr>
          <w:p>
            <w:pPr>
              <w:spacing w:after="0"/>
            </w:pPr>
            <w:r>
              <w:rPr>
                <w:rFonts w:ascii="Arial" w:hAnsi="Arial"/>
                <w:b w:val="0"/>
                <w:sz w:val="18"/>
              </w:rPr>
              <w:t>Auxiliary dosing – raise to 60°C – Caustic Soda (2 cycles) – H₂O₂ 50% (2 cycles) – raise to optimum temp &amp; hold – drain at 80°C – Hot wash at 80°C, add OBA (20 min dosing + 20 min holding) – Drain bath</w:t>
            </w:r>
          </w:p>
        </w:tc>
      </w:tr>
      <w:tr>
        <w:tc>
          <w:tcPr>
            <w:tcW w:type="dxa" w:w="2016"/>
            <w:shd w:val="clear" w:color="auto" w:fill="F9F9F9"/>
          </w:tcPr>
          <w:p>
            <w:pPr>
              <w:spacing w:after="0"/>
            </w:pPr>
            <w:r>
              <w:rPr>
                <w:rFonts w:ascii="Arial" w:hAnsi="Arial"/>
                <w:b w:val="0"/>
                <w:sz w:val="18"/>
              </w:rPr>
              <w:t>Wetting Agent</w:t>
            </w:r>
          </w:p>
        </w:tc>
        <w:tc>
          <w:tcPr>
            <w:tcW w:type="dxa" w:w="2160"/>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0.4%–0.6%</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Sequestering Agent</w:t>
            </w:r>
          </w:p>
        </w:tc>
        <w:tc>
          <w:tcPr>
            <w:tcW w:type="dxa" w:w="2160"/>
            <w:shd w:val="clear" w:color="auto" w:fill="FFFFFF"/>
          </w:tcPr>
          <w:p>
            <w:pPr>
              <w:spacing w:after="0"/>
            </w:pPr>
            <w:r>
              <w:rPr>
                <w:rFonts w:ascii="Arial" w:hAnsi="Arial"/>
                <w:b/>
                <w:sz w:val="18"/>
              </w:rPr>
              <w:t>Zetaplex SQT CONC</w:t>
            </w:r>
          </w:p>
        </w:tc>
        <w:tc>
          <w:tcPr>
            <w:tcW w:type="dxa" w:w="1296"/>
            <w:shd w:val="clear" w:color="auto" w:fill="FFFFFF"/>
          </w:tcPr>
          <w:p>
            <w:pPr>
              <w:spacing w:after="0"/>
            </w:pPr>
            <w:r>
              <w:rPr>
                <w:rFonts w:ascii="Arial" w:hAnsi="Arial"/>
                <w:b w:val="0"/>
                <w:sz w:val="18"/>
              </w:rPr>
              <w:t>0.3%–0.5%</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Peroxide Stabilizer</w:t>
            </w:r>
          </w:p>
        </w:tc>
        <w:tc>
          <w:tcPr>
            <w:tcW w:type="dxa" w:w="2160"/>
            <w:shd w:val="clear" w:color="auto" w:fill="F9F9F9"/>
          </w:tcPr>
          <w:p>
            <w:pPr>
              <w:spacing w:after="0"/>
            </w:pPr>
            <w:r>
              <w:rPr>
                <w:rFonts w:ascii="Arial" w:hAnsi="Arial"/>
                <w:b/>
                <w:sz w:val="18"/>
              </w:rPr>
              <w:t>Zetastab BR</w:t>
            </w:r>
          </w:p>
        </w:tc>
        <w:tc>
          <w:tcPr>
            <w:tcW w:type="dxa" w:w="1296"/>
            <w:shd w:val="clear" w:color="auto" w:fill="F9F9F9"/>
          </w:tcPr>
          <w:p>
            <w:pPr>
              <w:spacing w:after="0"/>
            </w:pPr>
            <w:r>
              <w:rPr>
                <w:rFonts w:ascii="Arial" w:hAnsi="Arial"/>
                <w:b w:val="0"/>
                <w:sz w:val="18"/>
              </w:rPr>
              <w:t>1.0%–1.5%</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Alkali</w:t>
            </w:r>
          </w:p>
        </w:tc>
        <w:tc>
          <w:tcPr>
            <w:tcW w:type="dxa" w:w="2160"/>
            <w:shd w:val="clear" w:color="auto" w:fill="FFFFFF"/>
          </w:tcPr>
          <w:p>
            <w:pPr>
              <w:spacing w:after="0"/>
            </w:pPr>
            <w:r>
              <w:rPr>
                <w:rFonts w:ascii="Arial" w:hAnsi="Arial"/>
                <w:b/>
                <w:sz w:val="18"/>
              </w:rPr>
              <w:t>Caustic Soda Flakes</w:t>
            </w:r>
          </w:p>
        </w:tc>
        <w:tc>
          <w:tcPr>
            <w:tcW w:type="dxa" w:w="1296"/>
            <w:shd w:val="clear" w:color="auto" w:fill="FFFFFF"/>
          </w:tcPr>
          <w:p>
            <w:pPr>
              <w:spacing w:after="0"/>
            </w:pPr>
            <w:r>
              <w:rPr>
                <w:rFonts w:ascii="Arial" w:hAnsi="Arial"/>
                <w:b w:val="0"/>
                <w:sz w:val="18"/>
              </w:rPr>
              <w:t>2.0%–3.0%</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Oxidative Bleaching Agent</w:t>
            </w:r>
          </w:p>
        </w:tc>
        <w:tc>
          <w:tcPr>
            <w:tcW w:type="dxa" w:w="2160"/>
            <w:shd w:val="clear" w:color="auto" w:fill="F9F9F9"/>
          </w:tcPr>
          <w:p>
            <w:pPr>
              <w:spacing w:after="0"/>
            </w:pPr>
            <w:r>
              <w:rPr>
                <w:rFonts w:ascii="Arial" w:hAnsi="Arial"/>
                <w:b/>
                <w:sz w:val="18"/>
              </w:rPr>
              <w:t>Hydrogen Peroxide 50%</w:t>
            </w:r>
          </w:p>
        </w:tc>
        <w:tc>
          <w:tcPr>
            <w:tcW w:type="dxa" w:w="1296"/>
            <w:shd w:val="clear" w:color="auto" w:fill="F9F9F9"/>
          </w:tcPr>
          <w:p>
            <w:pPr>
              <w:spacing w:after="0"/>
            </w:pPr>
            <w:r>
              <w:rPr>
                <w:rFonts w:ascii="Arial" w:hAnsi="Arial"/>
                <w:b w:val="0"/>
                <w:sz w:val="18"/>
              </w:rPr>
              <w:t>6.0%–8.0%</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OBA (base)</w:t>
            </w:r>
          </w:p>
        </w:tc>
        <w:tc>
          <w:tcPr>
            <w:tcW w:type="dxa" w:w="2160"/>
            <w:shd w:val="clear" w:color="auto" w:fill="FFFFFF"/>
          </w:tcPr>
          <w:p>
            <w:pPr>
              <w:spacing w:after="0"/>
            </w:pPr>
            <w:r>
              <w:rPr>
                <w:rFonts w:ascii="Arial" w:hAnsi="Arial"/>
                <w:b/>
                <w:sz w:val="18"/>
              </w:rPr>
              <w:t>Zetabright HCE</w:t>
            </w:r>
          </w:p>
        </w:tc>
        <w:tc>
          <w:tcPr>
            <w:tcW w:type="dxa" w:w="1296"/>
            <w:shd w:val="clear" w:color="auto" w:fill="FFFFFF"/>
          </w:tcPr>
          <w:p>
            <w:pPr>
              <w:spacing w:after="0"/>
            </w:pPr>
            <w:r>
              <w:rPr>
                <w:rFonts w:ascii="Arial" w:hAnsi="Arial"/>
                <w:b w:val="0"/>
                <w:sz w:val="18"/>
              </w:rPr>
              <w:t>0.7%–1.0%</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OBA (tint)</w:t>
            </w:r>
          </w:p>
        </w:tc>
        <w:tc>
          <w:tcPr>
            <w:tcW w:type="dxa" w:w="2160"/>
            <w:shd w:val="clear" w:color="auto" w:fill="F9F9F9"/>
          </w:tcPr>
          <w:p>
            <w:pPr>
              <w:spacing w:after="0"/>
            </w:pPr>
            <w:r>
              <w:rPr>
                <w:rFonts w:ascii="Arial" w:hAnsi="Arial"/>
                <w:b/>
                <w:sz w:val="18"/>
              </w:rPr>
              <w:t>Zetabright BB</w:t>
            </w:r>
          </w:p>
        </w:tc>
        <w:tc>
          <w:tcPr>
            <w:tcW w:type="dxa" w:w="1296"/>
            <w:shd w:val="clear" w:color="auto" w:fill="F9F9F9"/>
          </w:tcPr>
          <w:p>
            <w:pPr>
              <w:spacing w:after="0"/>
            </w:pPr>
            <w:r>
              <w:rPr>
                <w:rFonts w:ascii="Arial" w:hAnsi="Arial"/>
                <w:b w:val="0"/>
                <w:sz w:val="18"/>
              </w:rPr>
              <w:t>0.02%–0.1%</w:t>
            </w:r>
          </w:p>
        </w:tc>
        <w:tc>
          <w:tcPr>
            <w:tcW w:type="dxa" w:w="4709"/>
            <w:shd w:val="clear" w:color="auto" w:fill="F9F9F9"/>
          </w:tcPr>
          <w:p>
            <w:pPr>
              <w:spacing w:after="0"/>
            </w:pPr>
            <w:r>
              <w:rPr>
                <w:rFonts w:ascii="Arial" w:hAnsi="Arial"/>
                <w:b w:val="0"/>
                <w:sz w:val="18"/>
              </w:rPr>
            </w:r>
          </w:p>
        </w:tc>
      </w:tr>
    </w:tbl>
    <w:p/>
    <w:p>
      <w:pPr>
        <w:spacing w:before="200" w:after="60"/>
      </w:pPr>
      <w:r>
        <w:rPr>
          <w:rFonts w:ascii="Arial" w:hAnsi="Arial"/>
          <w:b/>
          <w:i/>
          <w:color w:val="333333"/>
          <w:sz w:val="20"/>
        </w:rPr>
        <w:t>3. Dyeing Bath</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val="clear" w:color="auto" w:fill="111111"/>
          </w:tcPr>
          <w:p>
            <w:pPr>
              <w:spacing w:after="0"/>
            </w:pPr>
            <w:r>
              <w:rPr>
                <w:rFonts w:ascii="Arial" w:hAnsi="Arial"/>
                <w:b/>
                <w:color w:val="FFFFFF"/>
                <w:sz w:val="18"/>
              </w:rPr>
              <w:t>Function</w:t>
            </w:r>
          </w:p>
        </w:tc>
        <w:tc>
          <w:tcPr>
            <w:tcW w:type="dxa" w:w="2160"/>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709"/>
            <w:shd w:val="clear" w:color="auto" w:fill="111111"/>
          </w:tcPr>
          <w:p>
            <w:pPr>
              <w:spacing w:after="0"/>
            </w:pPr>
            <w:r>
              <w:rPr>
                <w:rFonts w:ascii="Arial" w:hAnsi="Arial"/>
                <w:b/>
                <w:color w:val="FFFFFF"/>
                <w:sz w:val="18"/>
              </w:rPr>
              <w:t>Parameters &amp; Conditions</w:t>
            </w:r>
          </w:p>
        </w:tc>
      </w:tr>
      <w:tr>
        <w:tc>
          <w:tcPr>
            <w:tcW w:type="dxa" w:w="2016"/>
            <w:shd w:val="clear" w:color="auto" w:fill="FFFFFF"/>
          </w:tcPr>
          <w:p>
            <w:pPr>
              <w:spacing w:after="0"/>
            </w:pPr>
            <w:r>
              <w:rPr>
                <w:rFonts w:ascii="Arial" w:hAnsi="Arial"/>
                <w:b w:val="0"/>
                <w:sz w:val="18"/>
              </w:rPr>
              <w:t>Lubricating Agent</w:t>
            </w:r>
          </w:p>
        </w:tc>
        <w:tc>
          <w:tcPr>
            <w:tcW w:type="dxa" w:w="2160"/>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709"/>
            <w:shd w:val="clear" w:color="auto" w:fill="FFFFFF"/>
          </w:tcPr>
          <w:p>
            <w:pPr>
              <w:spacing w:after="0"/>
            </w:pPr>
            <w:r>
              <w:rPr>
                <w:rFonts w:ascii="Arial" w:hAnsi="Arial"/>
                <w:b w:val="0"/>
                <w:sz w:val="18"/>
              </w:rPr>
              <w:t>Auxiliary dosing – raise to 60°C – Dye dosing then hold – Salt dosing then hold – Alkali dosing then hold (as per shade depth and recommended process)</w:t>
            </w:r>
          </w:p>
        </w:tc>
      </w:tr>
      <w:tr>
        <w:tc>
          <w:tcPr>
            <w:tcW w:type="dxa" w:w="2016"/>
            <w:shd w:val="clear" w:color="auto" w:fill="F9F9F9"/>
          </w:tcPr>
          <w:p>
            <w:pPr>
              <w:spacing w:after="0"/>
            </w:pPr>
            <w:r>
              <w:rPr>
                <w:rFonts w:ascii="Arial" w:hAnsi="Arial"/>
                <w:b w:val="0"/>
                <w:sz w:val="18"/>
              </w:rPr>
              <w:t>pH Buffer cum DBC</w:t>
            </w:r>
          </w:p>
        </w:tc>
        <w:tc>
          <w:tcPr>
            <w:tcW w:type="dxa" w:w="2160"/>
            <w:shd w:val="clear" w:color="auto" w:fill="F9F9F9"/>
          </w:tcPr>
          <w:p>
            <w:pPr>
              <w:spacing w:after="0"/>
            </w:pPr>
            <w:r>
              <w:rPr>
                <w:rFonts w:ascii="Arial" w:hAnsi="Arial"/>
                <w:b/>
                <w:sz w:val="18"/>
              </w:rPr>
              <w:t>Zetalev AB-55</w:t>
            </w:r>
          </w:p>
        </w:tc>
        <w:tc>
          <w:tcPr>
            <w:tcW w:type="dxa" w:w="1296"/>
            <w:shd w:val="clear" w:color="auto" w:fill="F9F9F9"/>
          </w:tcPr>
          <w:p>
            <w:pPr>
              <w:spacing w:after="0"/>
            </w:pPr>
            <w:r>
              <w:rPr>
                <w:rFonts w:ascii="Arial" w:hAnsi="Arial"/>
                <w:b w:val="0"/>
                <w:sz w:val="18"/>
              </w:rPr>
              <w:t>0.3%–0.5%</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Levelling Agent</w:t>
            </w:r>
          </w:p>
        </w:tc>
        <w:tc>
          <w:tcPr>
            <w:tcW w:type="dxa" w:w="2160"/>
            <w:shd w:val="clear" w:color="auto" w:fill="FFFFFF"/>
          </w:tcPr>
          <w:p>
            <w:pPr>
              <w:spacing w:after="0"/>
            </w:pPr>
            <w:r>
              <w:rPr>
                <w:rFonts w:ascii="Arial" w:hAnsi="Arial"/>
                <w:b/>
                <w:sz w:val="18"/>
              </w:rPr>
              <w:t>Zetalev CLD</w:t>
            </w:r>
          </w:p>
        </w:tc>
        <w:tc>
          <w:tcPr>
            <w:tcW w:type="dxa" w:w="1296"/>
            <w:shd w:val="clear" w:color="auto" w:fill="FFFFFF"/>
          </w:tcPr>
          <w:p>
            <w:pPr>
              <w:spacing w:after="0"/>
            </w:pPr>
            <w:r>
              <w:rPr>
                <w:rFonts w:ascii="Arial" w:hAnsi="Arial"/>
                <w:b w:val="0"/>
                <w:sz w:val="18"/>
              </w:rPr>
              <w:t>0.5%–1.0%</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Dyes</w:t>
            </w:r>
          </w:p>
        </w:tc>
        <w:tc>
          <w:tcPr>
            <w:tcW w:type="dxa" w:w="2160"/>
            <w:shd w:val="clear" w:color="auto" w:fill="F9F9F9"/>
          </w:tcPr>
          <w:p>
            <w:pPr>
              <w:spacing w:after="0"/>
            </w:pPr>
            <w:r>
              <w:rPr>
                <w:rFonts w:ascii="Arial" w:hAnsi="Arial"/>
                <w:b/>
                <w:sz w:val="18"/>
              </w:rPr>
              <w:t>Reactive Dyes</w:t>
            </w:r>
          </w:p>
        </w:tc>
        <w:tc>
          <w:tcPr>
            <w:tcW w:type="dxa" w:w="1296"/>
            <w:shd w:val="clear" w:color="auto" w:fill="F9F9F9"/>
          </w:tcPr>
          <w:p>
            <w:pPr>
              <w:spacing w:after="0"/>
            </w:pPr>
            <w:r>
              <w:rPr>
                <w:rFonts w:ascii="Arial" w:hAnsi="Arial"/>
                <w:b w:val="0"/>
                <w:sz w:val="18"/>
              </w:rPr>
              <w:t>R%</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Salt</w:t>
            </w:r>
          </w:p>
        </w:tc>
        <w:tc>
          <w:tcPr>
            <w:tcW w:type="dxa" w:w="2160"/>
            <w:shd w:val="clear" w:color="auto" w:fill="FFFFFF"/>
          </w:tcPr>
          <w:p>
            <w:pPr>
              <w:spacing w:after="0"/>
            </w:pPr>
            <w:r>
              <w:rPr>
                <w:rFonts w:ascii="Arial" w:hAnsi="Arial"/>
                <w:b/>
                <w:sz w:val="18"/>
              </w:rPr>
              <w:t>Glauber's Salt</w:t>
            </w:r>
          </w:p>
        </w:tc>
        <w:tc>
          <w:tcPr>
            <w:tcW w:type="dxa" w:w="1296"/>
            <w:shd w:val="clear" w:color="auto" w:fill="FFFFFF"/>
          </w:tcPr>
          <w:p>
            <w:pPr>
              <w:spacing w:after="0"/>
            </w:pPr>
            <w:r>
              <w:rPr>
                <w:rFonts w:ascii="Arial" w:hAnsi="Arial"/>
                <w:b w:val="0"/>
                <w:sz w:val="18"/>
              </w:rPr>
              <w:t>X%</w:t>
            </w:r>
          </w:p>
        </w:tc>
        <w:tc>
          <w:tcPr>
            <w:tcW w:type="dxa" w:w="4709"/>
            <w:shd w:val="clear" w:color="auto" w:fill="FFFFFF"/>
          </w:tcPr>
          <w:p>
            <w:pPr>
              <w:spacing w:after="0"/>
            </w:pPr>
            <w:r>
              <w:rPr>
                <w:rFonts w:ascii="Arial" w:hAnsi="Arial"/>
                <w:b w:val="0"/>
                <w:sz w:val="18"/>
              </w:rPr>
            </w:r>
          </w:p>
        </w:tc>
      </w:tr>
      <w:tr>
        <w:tc>
          <w:tcPr>
            <w:tcW w:type="dxa" w:w="2016"/>
            <w:shd w:val="clear" w:color="auto" w:fill="F9F9F9"/>
          </w:tcPr>
          <w:p>
            <w:pPr>
              <w:spacing w:after="0"/>
            </w:pPr>
            <w:r>
              <w:rPr>
                <w:rFonts w:ascii="Arial" w:hAnsi="Arial"/>
                <w:b w:val="0"/>
                <w:sz w:val="18"/>
              </w:rPr>
              <w:t>Alkali</w:t>
            </w:r>
          </w:p>
        </w:tc>
        <w:tc>
          <w:tcPr>
            <w:tcW w:type="dxa" w:w="2160"/>
            <w:shd w:val="clear" w:color="auto" w:fill="F9F9F9"/>
          </w:tcPr>
          <w:p>
            <w:pPr>
              <w:spacing w:after="0"/>
            </w:pPr>
            <w:r>
              <w:rPr>
                <w:rFonts w:ascii="Arial" w:hAnsi="Arial"/>
                <w:b/>
                <w:sz w:val="18"/>
              </w:rPr>
              <w:t>Soda Ash</w:t>
            </w:r>
          </w:p>
        </w:tc>
        <w:tc>
          <w:tcPr>
            <w:tcW w:type="dxa" w:w="1296"/>
            <w:shd w:val="clear" w:color="auto" w:fill="F9F9F9"/>
          </w:tcPr>
          <w:p>
            <w:pPr>
              <w:spacing w:after="0"/>
            </w:pPr>
            <w:r>
              <w:rPr>
                <w:rFonts w:ascii="Arial" w:hAnsi="Arial"/>
                <w:b w:val="0"/>
                <w:sz w:val="18"/>
              </w:rPr>
              <w:t>Y%</w:t>
            </w:r>
          </w:p>
        </w:tc>
        <w:tc>
          <w:tcPr>
            <w:tcW w:type="dxa" w:w="4709"/>
            <w:shd w:val="clear" w:color="auto" w:fill="F9F9F9"/>
          </w:tcPr>
          <w:p>
            <w:pPr>
              <w:spacing w:after="0"/>
            </w:pPr>
            <w:r>
              <w:rPr>
                <w:rFonts w:ascii="Arial" w:hAnsi="Arial"/>
                <w:b w:val="0"/>
                <w:sz w:val="18"/>
              </w:rPr>
            </w:r>
          </w:p>
        </w:tc>
      </w:tr>
      <w:tr>
        <w:tc>
          <w:tcPr>
            <w:tcW w:type="dxa" w:w="2016"/>
            <w:shd w:val="clear" w:color="auto" w:fill="FFFFFF"/>
          </w:tcPr>
          <w:p>
            <w:pPr>
              <w:spacing w:after="0"/>
            </w:pPr>
            <w:r>
              <w:rPr>
                <w:rFonts w:ascii="Arial" w:hAnsi="Arial"/>
                <w:b w:val="0"/>
                <w:sz w:val="18"/>
              </w:rPr>
              <w:t>Alkali</w:t>
            </w:r>
          </w:p>
        </w:tc>
        <w:tc>
          <w:tcPr>
            <w:tcW w:type="dxa" w:w="2160"/>
            <w:shd w:val="clear" w:color="auto" w:fill="FFFFFF"/>
          </w:tcPr>
          <w:p>
            <w:pPr>
              <w:spacing w:after="0"/>
            </w:pPr>
            <w:r>
              <w:rPr>
                <w:rFonts w:ascii="Arial" w:hAnsi="Arial"/>
                <w:b/>
                <w:sz w:val="18"/>
              </w:rPr>
              <w:t>Caustic Soda Flakes</w:t>
            </w:r>
          </w:p>
        </w:tc>
        <w:tc>
          <w:tcPr>
            <w:tcW w:type="dxa" w:w="1296"/>
            <w:shd w:val="clear" w:color="auto" w:fill="FFFFFF"/>
          </w:tcPr>
          <w:p>
            <w:pPr>
              <w:spacing w:after="0"/>
            </w:pPr>
            <w:r>
              <w:rPr>
                <w:rFonts w:ascii="Arial" w:hAnsi="Arial"/>
                <w:b w:val="0"/>
                <w:sz w:val="18"/>
              </w:rPr>
              <w:t>Z%</w:t>
            </w:r>
          </w:p>
        </w:tc>
        <w:tc>
          <w:tcPr>
            <w:tcW w:type="dxa" w:w="4709"/>
            <w:shd w:val="clear" w:color="auto" w:fill="FFFFFF"/>
          </w:tcPr>
          <w:p>
            <w:pPr>
              <w:spacing w:after="0"/>
            </w:pPr>
            <w:r>
              <w:rPr>
                <w:rFonts w:ascii="Arial" w:hAnsi="Arial"/>
                <w:b w:val="0"/>
                <w:sz w:val="18"/>
              </w:rPr>
            </w:r>
          </w:p>
        </w:tc>
      </w:tr>
    </w:tbl>
    <w:p/>
    <w:p/>
    <w:p>
      <w:pPr>
        <w:spacing w:before="160"/>
        <w:pBdr>
          <w:top w:val="single" w:sz="4" w:space="1" w:color="CCCCCC"/>
        </w:pBdr>
      </w:pPr>
      <w:r>
        <w:rPr>
          <w:rFonts w:ascii="Arial" w:hAnsi="Arial"/>
          <w:b/>
          <w:color w:val="555555"/>
          <w:sz w:val="16"/>
        </w:rPr>
        <w:t xml:space="preserve">Disclaimer: </w:t>
      </w:r>
      <w:r>
        <w:rPr>
          <w:rFonts w:ascii="Arial" w:hAnsi="Arial"/>
          <w:color w:val="666666"/>
          <w:sz w:val="16"/>
        </w:rPr>
        <w:t>Biochem Technologies retains the right to alter product and technical information. We assure that our products will meet Biochem Technologies’ specifications, with our liability limited to product replacement. The information provided in this datasheet serves as a guideline, believed to be accurate. Users are advised to assess recommendations before actual application. Safety Data Sheet (SDS) is available upon request.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Biochem Technologies  |  www.biochemtechnologies.com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14"/>
      <w:gridCol w:w="4514"/>
    </w:tblGrid>
    <w:tr>
      <w:tc>
        <w:tcPr>
          <w:tcW w:type="dxa" w:w="5040"/>
        </w:tcPr>
        <w:p>
          <w:r>
            <w:rPr>
              <w:rFonts w:ascii="Arial" w:hAnsi="Arial"/>
              <w:b/>
              <w:color w:val="888888"/>
              <w:sz w:val="16"/>
            </w:rPr>
            <w:t>TECHNICAL DATA SHEET</w:t>
          </w:r>
        </w:p>
      </w:tc>
      <w:tc>
        <w:tcPr>
          <w:tcW w:type="dxa" w:w="3989"/>
        </w:tcPr>
        <w:p>
          <w:pPr>
            <w:jc w:val="right"/>
          </w:pPr>
          <w:r>
            <w:drawing>
              <wp:inline xmlns:a="http://schemas.openxmlformats.org/drawingml/2006/main" xmlns:pic="http://schemas.openxmlformats.org/drawingml/2006/picture">
                <wp:extent cx="1280160" cy="478669"/>
                <wp:docPr id="1" name="Picture 1"/>
                <wp:cNvGraphicFramePr>
                  <a:graphicFrameLocks noChangeAspect="1"/>
                </wp:cNvGraphicFramePr>
                <a:graphic>
                  <a:graphicData uri="http://schemas.openxmlformats.org/drawingml/2006/picture">
                    <pic:pic>
                      <pic:nvPicPr>
                        <pic:cNvPr id="0" name="biochem_logo.png"/>
                        <pic:cNvPicPr/>
                      </pic:nvPicPr>
                      <pic:blipFill>
                        <a:blip r:embed="rId1"/>
                        <a:stretch>
                          <a:fillRect/>
                        </a:stretch>
                      </pic:blipFill>
                      <pic:spPr>
                        <a:xfrm>
                          <a:off x="0" y="0"/>
                          <a:ext cx="1280160" cy="478669"/>
                        </a:xfrm>
                        <a:prstGeom prst="rect"/>
                      </pic:spPr>
                    </pic:pic>
                  </a:graphicData>
                </a:graphic>
              </wp:inline>
            </w:drawing>
          </w:r>
        </w:p>
      </w:tc>
    </w:tr>
  </w:tbl>
  <w:p>
    <w:pPr>
      <w:pBdr>
        <w:bottom w:val="single" w:sz="12" w:space="1" w:color="0057B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