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pPr>
      <w:r>
        <w:rPr>
          <w:rFonts w:ascii="Arial" w:hAnsi="Arial"/>
          <w:b/>
          <w:color w:val="0057B8"/>
          <w:sz w:val="44"/>
        </w:rPr>
        <w:t>ZETAFIX FF</w:t>
      </w:r>
    </w:p>
    <w:p>
      <w:pPr>
        <w:spacing w:after="320"/>
      </w:pPr>
      <w:r>
        <w:rPr>
          <w:rFonts w:ascii="Arial" w:hAnsi="Arial"/>
          <w:color w:val="555555"/>
          <w:sz w:val="20"/>
        </w:rPr>
        <w:t>COLOUR FIXATIVE — REACTIVE &amp; DIRECT DYES</w:t>
      </w:r>
    </w:p>
    <w:p>
      <w:pPr>
        <w:spacing w:after="240"/>
        <w:pBdr>
          <w:bottom w:val="single" w:sz="4" w:space="1" w:color="CCCCCC"/>
        </w:pBdr>
      </w:pPr>
    </w:p>
    <w:p>
      <w:pPr>
        <w:spacing w:before="280" w:after="80"/>
        <w:pBdr>
          <w:bottom w:val="single" w:sz="6" w:space="1" w:color="0057B8"/>
        </w:pBdr>
      </w:pPr>
      <w:r>
        <w:rPr>
          <w:rFonts w:ascii="Arial" w:hAnsi="Arial"/>
          <w:b/>
          <w:color w:val="0057B8"/>
          <w:sz w:val="24"/>
        </w:rPr>
        <w:t>Product Description:</w:t>
      </w:r>
    </w:p>
    <w:p>
      <w:pPr>
        <w:spacing w:after="120"/>
      </w:pPr>
      <w:r>
        <w:rPr>
          <w:rFonts w:ascii="Arial" w:hAnsi="Arial"/>
          <w:color w:val="333333"/>
          <w:sz w:val="20"/>
        </w:rPr>
        <w:t>Introducing Zetafix FF, a formaldehyde and zinc-free dye fixer meticulously crafted for exhaust and padding applications. This innovative formulation ensures exceptional washing fastness for reactive and direct dyed or printed fabrics. Unlike traditional fixers, Zetafix FF offers the distinct advantage of preserving fabric softness without any harshening effects on treated goods. Additionally, it maintains the fabric’s light fastness properties, safeguarding its colour vibrancy and longevity. Choose Zetafix FF for superior dye fixation without compromising fabric quality or environmental sustainability.</w:t>
      </w:r>
    </w:p>
    <w:p>
      <w:pPr>
        <w:spacing w:before="280" w:after="80"/>
        <w:pBdr>
          <w:bottom w:val="single" w:sz="6" w:space="1" w:color="0057B8"/>
        </w:pBdr>
      </w:pPr>
      <w:r>
        <w:rPr>
          <w:rFonts w:ascii="Arial" w:hAnsi="Arial"/>
          <w:b/>
          <w:color w:val="0057B8"/>
          <w:sz w:val="24"/>
        </w:rPr>
        <w:t>Key Benefits:</w:t>
      </w:r>
    </w:p>
    <w:p>
      <w:pPr>
        <w:spacing w:after="80"/>
        <w:ind w:left="360"/>
      </w:pPr>
      <w:r>
        <w:rPr>
          <w:rFonts w:ascii="Arial" w:hAnsi="Arial"/>
          <w:b/>
          <w:sz w:val="20"/>
        </w:rPr>
        <w:t>1. Superior Fastness:</w:t>
      </w:r>
      <w:r>
        <w:rPr>
          <w:rFonts w:ascii="Arial" w:hAnsi="Arial"/>
          <w:color w:val="333333"/>
          <w:sz w:val="20"/>
        </w:rPr>
        <w:t xml:space="preserve"> Provides outstanding water, washing, perspiration, and other fastness properties on reactive and direct dyed and printed fabrics.</w:t>
      </w:r>
    </w:p>
    <w:p>
      <w:pPr>
        <w:spacing w:after="80"/>
        <w:ind w:left="360"/>
      </w:pPr>
      <w:r>
        <w:rPr>
          <w:rFonts w:ascii="Arial" w:hAnsi="Arial"/>
          <w:b/>
          <w:sz w:val="20"/>
        </w:rPr>
        <w:t>2. Heat Stability:</w:t>
      </w:r>
      <w:r>
        <w:rPr>
          <w:rFonts w:ascii="Arial" w:hAnsi="Arial"/>
          <w:color w:val="333333"/>
          <w:sz w:val="20"/>
        </w:rPr>
        <w:t xml:space="preserve"> Maintains fastness properties even after heat treatment, preserving the integrity of the fabric’s colour and texture.</w:t>
      </w:r>
    </w:p>
    <w:p>
      <w:pPr>
        <w:spacing w:after="80"/>
        <w:ind w:left="360"/>
      </w:pPr>
      <w:r>
        <w:rPr>
          <w:rFonts w:ascii="Arial" w:hAnsi="Arial"/>
          <w:b/>
          <w:sz w:val="20"/>
        </w:rPr>
        <w:t>3. Dye Migration Prevention:</w:t>
      </w:r>
      <w:r>
        <w:rPr>
          <w:rFonts w:ascii="Arial" w:hAnsi="Arial"/>
          <w:color w:val="333333"/>
          <w:sz w:val="20"/>
        </w:rPr>
        <w:t xml:space="preserve"> Prevents dye migration during drying and exhibits excellent stability to steaming, preserving light fastness.</w:t>
      </w:r>
    </w:p>
    <w:p>
      <w:pPr>
        <w:spacing w:after="80"/>
        <w:ind w:left="360"/>
      </w:pPr>
      <w:r>
        <w:rPr>
          <w:rFonts w:ascii="Arial" w:hAnsi="Arial"/>
          <w:b/>
          <w:sz w:val="20"/>
        </w:rPr>
        <w:t>4. Natural Handle:</w:t>
      </w:r>
      <w:r>
        <w:rPr>
          <w:rFonts w:ascii="Arial" w:hAnsi="Arial"/>
          <w:color w:val="333333"/>
          <w:sz w:val="20"/>
        </w:rPr>
        <w:t xml:space="preserve"> Imparts a pleasant, natural handle to dyed goods. Compatible with resin or other finishing agents of cationic and non-ionic nature.</w:t>
      </w:r>
    </w:p>
    <w:p/>
    <w:p>
      <w:pPr>
        <w:spacing w:before="280" w:after="80"/>
        <w:pBdr>
          <w:bottom w:val="single" w:sz="6" w:space="1" w:color="0057B8"/>
        </w:pBdr>
      </w:pPr>
      <w:r>
        <w:rPr>
          <w:rFonts w:ascii="Arial" w:hAnsi="Arial"/>
          <w:b/>
          <w:color w:val="0057B8"/>
          <w:sz w:val="24"/>
        </w:rPr>
        <w:t>Properties:</w:t>
      </w:r>
    </w:p>
    <w:tbl>
      <w:tblPr>
        <w:tblStyle w:val="TableGrid"/>
        <w:tblW w:type="auto" w:w="0"/>
        <w:tblLook w:firstColumn="1" w:firstRow="1" w:lastColumn="0" w:lastRow="0" w:noHBand="0" w:noVBand="1" w:val="04A0"/>
      </w:tblPr>
      <w:tblGrid>
        <w:gridCol w:w="4514"/>
        <w:gridCol w:w="4514"/>
      </w:tblGrid>
      <w:tr>
        <w:tc>
          <w:tcPr>
            <w:tcW w:type="dxa" w:w="3600"/>
            <w:shd w:val="clear" w:color="auto" w:fill="E8EEF6"/>
          </w:tcPr>
          <w:p>
            <w:pPr>
              <w:spacing w:after="40"/>
            </w:pPr>
            <w:r>
              <w:rPr>
                <w:rFonts w:ascii="Arial" w:hAnsi="Arial"/>
                <w:b/>
                <w:sz w:val="19"/>
              </w:rPr>
              <w:t>Chemical Constitution</w:t>
            </w:r>
          </w:p>
        </w:tc>
        <w:tc>
          <w:tcPr>
            <w:tcW w:type="dxa" w:w="6480"/>
            <w:shd w:val="clear" w:color="auto" w:fill="F2F2F2"/>
          </w:tcPr>
          <w:p>
            <w:pPr>
              <w:spacing w:after="40"/>
            </w:pPr>
            <w:r>
              <w:rPr>
                <w:rFonts w:ascii="Arial" w:hAnsi="Arial"/>
                <w:sz w:val="19"/>
              </w:rPr>
              <w:t>Aqueous preparation of polyethylene polyamine</w:t>
            </w:r>
          </w:p>
        </w:tc>
      </w:tr>
      <w:tr>
        <w:tc>
          <w:tcPr>
            <w:tcW w:type="dxa" w:w="3600"/>
            <w:shd w:val="clear" w:color="auto" w:fill="E8EEF6"/>
          </w:tcPr>
          <w:p>
            <w:pPr>
              <w:spacing w:after="40"/>
            </w:pPr>
            <w:r>
              <w:rPr>
                <w:rFonts w:ascii="Arial" w:hAnsi="Arial"/>
                <w:b/>
                <w:sz w:val="19"/>
              </w:rPr>
              <w:t>Ionic Character</w:t>
            </w:r>
          </w:p>
        </w:tc>
        <w:tc>
          <w:tcPr>
            <w:tcW w:type="dxa" w:w="6480"/>
            <w:shd w:val="clear" w:color="auto" w:fill="FFFFFF"/>
          </w:tcPr>
          <w:p>
            <w:pPr>
              <w:spacing w:after="40"/>
            </w:pPr>
            <w:r>
              <w:rPr>
                <w:rFonts w:ascii="Arial" w:hAnsi="Arial"/>
                <w:sz w:val="19"/>
              </w:rPr>
              <w:t>Cationic</w:t>
            </w:r>
          </w:p>
        </w:tc>
      </w:tr>
      <w:tr>
        <w:tc>
          <w:tcPr>
            <w:tcW w:type="dxa" w:w="3600"/>
            <w:shd w:val="clear" w:color="auto" w:fill="E8EEF6"/>
          </w:tcPr>
          <w:p>
            <w:pPr>
              <w:spacing w:after="40"/>
            </w:pPr>
            <w:r>
              <w:rPr>
                <w:rFonts w:ascii="Arial" w:hAnsi="Arial"/>
                <w:b/>
                <w:sz w:val="19"/>
              </w:rPr>
              <w:t>pH of 5% solution</w:t>
            </w:r>
          </w:p>
        </w:tc>
        <w:tc>
          <w:tcPr>
            <w:tcW w:type="dxa" w:w="6480"/>
            <w:shd w:val="clear" w:color="auto" w:fill="F2F2F2"/>
          </w:tcPr>
          <w:p>
            <w:pPr>
              <w:spacing w:after="40"/>
            </w:pPr>
            <w:r>
              <w:rPr>
                <w:rFonts w:ascii="Arial" w:hAnsi="Arial"/>
                <w:sz w:val="19"/>
              </w:rPr>
              <w:t>Approx. 7 – 8</w:t>
            </w:r>
          </w:p>
        </w:tc>
      </w:tr>
      <w:tr>
        <w:tc>
          <w:tcPr>
            <w:tcW w:type="dxa" w:w="3600"/>
            <w:shd w:val="clear" w:color="auto" w:fill="E8EEF6"/>
          </w:tcPr>
          <w:p>
            <w:pPr>
              <w:spacing w:after="40"/>
            </w:pPr>
            <w:r>
              <w:rPr>
                <w:rFonts w:ascii="Arial" w:hAnsi="Arial"/>
                <w:b/>
                <w:sz w:val="19"/>
              </w:rPr>
              <w:t>Specific Gravity at 20°C</w:t>
            </w:r>
          </w:p>
        </w:tc>
        <w:tc>
          <w:tcPr>
            <w:tcW w:type="dxa" w:w="6480"/>
            <w:shd w:val="clear" w:color="auto" w:fill="FFFFFF"/>
          </w:tcPr>
          <w:p>
            <w:pPr>
              <w:spacing w:after="40"/>
            </w:pPr>
            <w:r>
              <w:rPr>
                <w:rFonts w:ascii="Arial" w:hAnsi="Arial"/>
                <w:sz w:val="19"/>
              </w:rPr>
              <w:t>Approx. 1.1 gm/cc</w:t>
            </w:r>
          </w:p>
        </w:tc>
      </w:tr>
      <w:tr>
        <w:tc>
          <w:tcPr>
            <w:tcW w:type="dxa" w:w="3600"/>
            <w:shd w:val="clear" w:color="auto" w:fill="E8EEF6"/>
          </w:tcPr>
          <w:p>
            <w:pPr>
              <w:spacing w:after="40"/>
            </w:pPr>
            <w:r>
              <w:rPr>
                <w:rFonts w:ascii="Arial" w:hAnsi="Arial"/>
                <w:b/>
                <w:sz w:val="19"/>
              </w:rPr>
              <w:t>Physical Form</w:t>
            </w:r>
          </w:p>
        </w:tc>
        <w:tc>
          <w:tcPr>
            <w:tcW w:type="dxa" w:w="6480"/>
            <w:shd w:val="clear" w:color="auto" w:fill="F2F2F2"/>
          </w:tcPr>
          <w:p>
            <w:pPr>
              <w:spacing w:after="40"/>
            </w:pPr>
            <w:r>
              <w:rPr>
                <w:rFonts w:ascii="Arial" w:hAnsi="Arial"/>
                <w:sz w:val="19"/>
              </w:rPr>
              <w:t>Liquid</w:t>
            </w:r>
          </w:p>
        </w:tc>
      </w:tr>
      <w:tr>
        <w:tc>
          <w:tcPr>
            <w:tcW w:type="dxa" w:w="3600"/>
            <w:shd w:val="clear" w:color="auto" w:fill="E8EEF6"/>
          </w:tcPr>
          <w:p>
            <w:pPr>
              <w:spacing w:after="40"/>
            </w:pPr>
            <w:r>
              <w:rPr>
                <w:rFonts w:ascii="Arial" w:hAnsi="Arial"/>
                <w:b/>
                <w:sz w:val="19"/>
              </w:rPr>
              <w:t>Storage Stability</w:t>
            </w:r>
          </w:p>
        </w:tc>
        <w:tc>
          <w:tcPr>
            <w:tcW w:type="dxa" w:w="6480"/>
            <w:shd w:val="clear" w:color="auto" w:fill="FFFFFF"/>
          </w:tcPr>
          <w:p>
            <w:pPr>
              <w:spacing w:after="40"/>
            </w:pPr>
            <w:r>
              <w:rPr>
                <w:rFonts w:ascii="Arial" w:hAnsi="Arial"/>
                <w:sz w:val="19"/>
              </w:rPr>
              <w:t>Stable for 1 year at 20°C</w:t>
            </w:r>
          </w:p>
        </w:tc>
      </w:tr>
      <w:tr>
        <w:tc>
          <w:tcPr>
            <w:tcW w:type="dxa" w:w="3600"/>
            <w:shd w:val="clear" w:color="auto" w:fill="E8EEF6"/>
          </w:tcPr>
          <w:p>
            <w:pPr>
              <w:spacing w:after="40"/>
            </w:pPr>
            <w:r>
              <w:rPr>
                <w:rFonts w:ascii="Arial" w:hAnsi="Arial"/>
                <w:b/>
                <w:sz w:val="19"/>
              </w:rPr>
              <w:t>Bath Stability</w:t>
            </w:r>
          </w:p>
        </w:tc>
        <w:tc>
          <w:tcPr>
            <w:tcW w:type="dxa" w:w="6480"/>
            <w:shd w:val="clear" w:color="auto" w:fill="F2F2F2"/>
          </w:tcPr>
          <w:p>
            <w:pPr>
              <w:spacing w:after="40"/>
            </w:pPr>
            <w:r>
              <w:rPr>
                <w:rFonts w:ascii="Arial" w:hAnsi="Arial"/>
                <w:sz w:val="19"/>
              </w:rPr>
              <w:t>Highly stable in hard water and to acids, alkalis and electrolytes</w:t>
            </w:r>
          </w:p>
        </w:tc>
      </w:tr>
    </w:tbl>
    <w:p/>
    <w:p>
      <w:pPr>
        <w:spacing w:before="280" w:after="80"/>
        <w:pBdr>
          <w:bottom w:val="single" w:sz="6" w:space="1" w:color="0057B8"/>
        </w:pBdr>
      </w:pPr>
      <w:r>
        <w:rPr>
          <w:rFonts w:ascii="Arial" w:hAnsi="Arial"/>
          <w:b/>
          <w:color w:val="0057B8"/>
          <w:sz w:val="24"/>
        </w:rPr>
        <w:t>Applications:</w:t>
      </w:r>
    </w:p>
    <w:p>
      <w:pPr>
        <w:spacing w:after="120"/>
      </w:pPr>
      <w:r>
        <w:rPr>
          <w:rFonts w:ascii="Arial" w:hAnsi="Arial"/>
          <w:color w:val="333333"/>
          <w:sz w:val="20"/>
        </w:rPr>
        <w:t>Dosage varies based on shade depth, dye characteristics, and dyeing process. Recommended dosage: 0.5%–1.0% for reactive and direct dyed goods (fabric &amp; cheese).</w:t>
      </w:r>
    </w:p>
    <w:p>
      <w:pPr>
        <w:spacing w:before="200" w:after="60"/>
      </w:pPr>
      <w:r>
        <w:rPr>
          <w:rFonts w:ascii="Arial" w:hAnsi="Arial"/>
          <w:b/>
          <w:i/>
          <w:color w:val="333333"/>
          <w:sz w:val="20"/>
        </w:rPr>
        <w:t>Exhaust Application</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val="clear" w:color="auto" w:fill="111111"/>
          </w:tcPr>
          <w:p>
            <w:pPr>
              <w:spacing w:after="0"/>
            </w:pPr>
            <w:r>
              <w:rPr>
                <w:rFonts w:ascii="Arial" w:hAnsi="Arial"/>
                <w:b/>
                <w:color w:val="FFFFFF"/>
                <w:sz w:val="18"/>
              </w:rPr>
              <w:t>Function</w:t>
            </w:r>
          </w:p>
        </w:tc>
        <w:tc>
          <w:tcPr>
            <w:tcW w:type="dxa" w:w="2304"/>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608"/>
            <w:shd w:val="clear" w:color="auto" w:fill="111111"/>
          </w:tcPr>
          <w:p>
            <w:pPr>
              <w:spacing w:after="0"/>
            </w:pPr>
            <w:r>
              <w:rPr>
                <w:rFonts w:ascii="Arial" w:hAnsi="Arial"/>
                <w:b/>
                <w:color w:val="FFFFFF"/>
                <w:sz w:val="18"/>
              </w:rPr>
              <w:t>Process Conditions</w:t>
            </w:r>
          </w:p>
        </w:tc>
      </w:tr>
      <w:tr>
        <w:tc>
          <w:tcPr>
            <w:tcW w:type="dxa" w:w="1872"/>
            <w:shd w:val="clear" w:color="auto" w:fill="FFFFFF"/>
          </w:tcPr>
          <w:p>
            <w:pPr>
              <w:spacing w:after="0"/>
            </w:pPr>
            <w:r>
              <w:rPr>
                <w:rFonts w:ascii="Arial" w:hAnsi="Arial"/>
                <w:b w:val="0"/>
                <w:sz w:val="18"/>
              </w:rPr>
              <w:t>Acid</w:t>
            </w:r>
          </w:p>
        </w:tc>
        <w:tc>
          <w:tcPr>
            <w:tcW w:type="dxa" w:w="2304"/>
            <w:shd w:val="clear" w:color="auto" w:fill="FFFFFF"/>
          </w:tcPr>
          <w:p>
            <w:pPr>
              <w:spacing w:after="0"/>
            </w:pPr>
            <w:r>
              <w:rPr>
                <w:rFonts w:ascii="Arial" w:hAnsi="Arial"/>
                <w:b/>
                <w:sz w:val="18"/>
              </w:rPr>
              <w:t>Acetic Acid</w:t>
            </w:r>
          </w:p>
        </w:tc>
        <w:tc>
          <w:tcPr>
            <w:tcW w:type="dxa" w:w="1296"/>
            <w:shd w:val="clear" w:color="auto" w:fill="FFFFFF"/>
          </w:tcPr>
          <w:p>
            <w:pPr>
              <w:spacing w:after="0"/>
            </w:pPr>
            <w:r>
              <w:rPr>
                <w:rFonts w:ascii="Arial" w:hAnsi="Arial"/>
                <w:b w:val="0"/>
                <w:sz w:val="18"/>
              </w:rPr>
              <w:t>pH 5.5–6.5</w:t>
            </w:r>
          </w:p>
        </w:tc>
        <w:tc>
          <w:tcPr>
            <w:tcW w:type="dxa" w:w="4608"/>
            <w:shd w:val="clear" w:color="auto" w:fill="FFFFFF"/>
          </w:tcPr>
          <w:p>
            <w:pPr>
              <w:spacing w:after="0"/>
            </w:pPr>
            <w:r>
              <w:rPr>
                <w:rFonts w:ascii="Arial" w:hAnsi="Arial"/>
                <w:b w:val="0"/>
                <w:sz w:val="18"/>
              </w:rPr>
              <w:t>Add auxiliaries — hold for 10 to 15 minutes</w:t>
            </w:r>
          </w:p>
        </w:tc>
      </w:tr>
      <w:tr>
        <w:tc>
          <w:tcPr>
            <w:tcW w:type="dxa" w:w="1872"/>
            <w:shd w:val="clear" w:color="auto" w:fill="F9F9F9"/>
          </w:tcPr>
          <w:p>
            <w:pPr>
              <w:spacing w:after="0"/>
            </w:pPr>
            <w:r>
              <w:rPr>
                <w:rFonts w:ascii="Arial" w:hAnsi="Arial"/>
                <w:b w:val="0"/>
                <w:sz w:val="18"/>
              </w:rPr>
              <w:t>Dye Fixer</w:t>
            </w:r>
          </w:p>
        </w:tc>
        <w:tc>
          <w:tcPr>
            <w:tcW w:type="dxa" w:w="2304"/>
            <w:shd w:val="clear" w:color="auto" w:fill="F9F9F9"/>
          </w:tcPr>
          <w:p>
            <w:pPr>
              <w:spacing w:after="0"/>
            </w:pPr>
            <w:r>
              <w:rPr>
                <w:rFonts w:ascii="Arial" w:hAnsi="Arial"/>
                <w:b/>
                <w:sz w:val="18"/>
              </w:rPr>
              <w:t>ZETAFIX FF</w:t>
            </w:r>
          </w:p>
        </w:tc>
        <w:tc>
          <w:tcPr>
            <w:tcW w:type="dxa" w:w="1296"/>
            <w:shd w:val="clear" w:color="auto" w:fill="F9F9F9"/>
          </w:tcPr>
          <w:p>
            <w:pPr>
              <w:spacing w:after="0"/>
            </w:pPr>
            <w:r>
              <w:rPr>
                <w:rFonts w:ascii="Arial" w:hAnsi="Arial"/>
                <w:b w:val="0"/>
                <w:sz w:val="18"/>
              </w:rPr>
              <w:t>0.5%–1.0%</w:t>
            </w:r>
          </w:p>
        </w:tc>
        <w:tc>
          <w:tcPr>
            <w:tcW w:type="dxa" w:w="4608"/>
            <w:shd w:val="clear" w:color="auto" w:fill="F9F9F9"/>
          </w:tcPr>
          <w:p>
            <w:pPr>
              <w:spacing w:after="0"/>
            </w:pPr>
            <w:r>
              <w:rPr>
                <w:rFonts w:ascii="Arial" w:hAnsi="Arial"/>
                <w:b w:val="0"/>
                <w:sz w:val="18"/>
              </w:rPr>
            </w:r>
          </w:p>
        </w:tc>
      </w:tr>
    </w:tbl>
    <w:p/>
    <w:p>
      <w:pPr>
        <w:spacing w:before="280" w:after="80"/>
        <w:pBdr>
          <w:bottom w:val="single" w:sz="6" w:space="1" w:color="0057B8"/>
        </w:pBdr>
      </w:pPr>
      <w:r>
        <w:rPr>
          <w:rFonts w:ascii="Arial" w:hAnsi="Arial"/>
          <w:b/>
          <w:color w:val="0057B8"/>
          <w:sz w:val="24"/>
        </w:rPr>
        <w:t>De-finish / Re-dyeing Procedures:</w:t>
      </w:r>
    </w:p>
    <w:p>
      <w:pPr>
        <w:spacing w:after="80"/>
      </w:pPr>
      <w:r>
        <w:rPr>
          <w:rFonts w:ascii="Arial" w:hAnsi="Arial"/>
          <w:b/>
          <w:sz w:val="20"/>
        </w:rPr>
        <w:t>Masking the cationic charge on cellulose:</w:t>
      </w:r>
    </w:p>
    <w:p>
      <w:pPr>
        <w:spacing w:after="80"/>
        <w:ind w:left="360"/>
      </w:pPr>
      <w:r>
        <w:rPr>
          <w:rFonts w:ascii="Arial" w:hAnsi="Arial"/>
          <w:color w:val="333333"/>
          <w:sz w:val="20"/>
        </w:rPr>
        <w:t>Apply 2 GPL ZETA MOL WSD Powder + 3 GPL Formic Acid 85% — 30 minutes at 90°C</w:t>
      </w:r>
    </w:p>
    <w:p>
      <w:pPr>
        <w:spacing w:after="80"/>
      </w:pPr>
      <w:r>
        <w:rPr>
          <w:rFonts w:ascii="Arial" w:hAnsi="Arial"/>
          <w:b/>
          <w:sz w:val="20"/>
        </w:rPr>
        <w:t>Correcting unevenness:</w:t>
      </w:r>
    </w:p>
    <w:p>
      <w:pPr>
        <w:spacing w:after="80"/>
        <w:ind w:left="360"/>
      </w:pPr>
      <w:r>
        <w:rPr>
          <w:rFonts w:ascii="Arial" w:hAnsi="Arial"/>
          <w:color w:val="333333"/>
          <w:sz w:val="20"/>
        </w:rPr>
        <w:t>1. Strip dyes per dye manufacturer’s recommended procedure</w:t>
      </w:r>
    </w:p>
    <w:p>
      <w:pPr>
        <w:spacing w:after="80"/>
        <w:ind w:left="360"/>
      </w:pPr>
      <w:r>
        <w:rPr>
          <w:rFonts w:ascii="Arial" w:hAnsi="Arial"/>
          <w:color w:val="333333"/>
          <w:sz w:val="20"/>
        </w:rPr>
        <w:t>2. Apply 2 GPL ZETA MOL WSD Powder + 3 GPL Formic Acid 85% — 30 minutes at 90°C</w:t>
      </w:r>
    </w:p>
    <w:p>
      <w:pPr>
        <w:spacing w:after="80"/>
      </w:pPr>
      <w:r>
        <w:rPr>
          <w:rFonts w:ascii="Arial" w:hAnsi="Arial"/>
          <w:b/>
          <w:sz w:val="20"/>
        </w:rPr>
        <w:t>Stripping of dyes and Zetafix FF:</w:t>
      </w:r>
    </w:p>
    <w:p>
      <w:pPr>
        <w:spacing w:after="80"/>
        <w:ind w:left="360"/>
      </w:pPr>
      <w:r>
        <w:rPr>
          <w:rFonts w:ascii="Arial" w:hAnsi="Arial"/>
          <w:color w:val="333333"/>
          <w:sz w:val="20"/>
        </w:rPr>
        <w:t>Step 1: Strip dyes per dye manufacturer’s recommended procedure</w:t>
      </w:r>
    </w:p>
    <w:p>
      <w:pPr>
        <w:spacing w:after="80"/>
        <w:ind w:left="360"/>
      </w:pPr>
      <w:r>
        <w:rPr>
          <w:rFonts w:ascii="Arial" w:hAnsi="Arial"/>
          <w:color w:val="333333"/>
          <w:sz w:val="20"/>
        </w:rPr>
        <w:t>Step 2 — Stripping methods:</w:t>
      </w:r>
    </w:p>
    <w:p>
      <w:pPr>
        <w:spacing w:after="80"/>
        <w:ind w:left="360"/>
      </w:pPr>
      <w:r>
        <w:rPr>
          <w:rFonts w:ascii="Arial" w:hAnsi="Arial"/>
          <w:b/>
          <w:sz w:val="20"/>
        </w:rPr>
        <w:t xml:space="preserve">• Alkaline method: </w:t>
      </w:r>
      <w:r>
        <w:rPr>
          <w:rFonts w:ascii="Arial" w:hAnsi="Arial"/>
          <w:color w:val="333333"/>
          <w:sz w:val="20"/>
        </w:rPr>
        <w:t>2 GPL ZETA MOL WSD Powder + 3 GPL Caustic Soda — 45 min at 85°C, rinse &amp; neutralise</w:t>
      </w:r>
    </w:p>
    <w:p>
      <w:pPr>
        <w:spacing w:after="80"/>
        <w:ind w:left="360"/>
      </w:pPr>
      <w:r>
        <w:rPr>
          <w:rFonts w:ascii="Arial" w:hAnsi="Arial"/>
          <w:b/>
          <w:sz w:val="20"/>
        </w:rPr>
        <w:t xml:space="preserve">• Acidic method: </w:t>
      </w:r>
      <w:r>
        <w:rPr>
          <w:rFonts w:ascii="Arial" w:hAnsi="Arial"/>
          <w:color w:val="333333"/>
          <w:sz w:val="20"/>
        </w:rPr>
        <w:t>2 GPL ZETA MOL WSD Powder + 3 GPL Potassium Persulphate — 45 min at 80°C, rinse &amp; neutralise</w:t>
      </w:r>
    </w:p>
    <w:p>
      <w:pPr>
        <w:spacing w:after="80"/>
        <w:ind w:left="360"/>
      </w:pPr>
      <w:r>
        <w:rPr>
          <w:rFonts w:ascii="Arial" w:hAnsi="Arial"/>
          <w:b/>
          <w:sz w:val="20"/>
        </w:rPr>
        <w:t xml:space="preserve">• By oxidation: </w:t>
      </w:r>
      <w:r>
        <w:rPr>
          <w:rFonts w:ascii="Arial" w:hAnsi="Arial"/>
          <w:color w:val="333333"/>
          <w:sz w:val="20"/>
        </w:rPr>
        <w:t>2–3 GPL Hydrogen Peroxide 50% + 1–1.5 GPL Caustic Soda — 30 min at 80°C, rinse &amp; neutralise</w:t>
      </w:r>
    </w:p>
    <w:p>
      <w:pPr>
        <w:spacing w:after="80"/>
        <w:ind w:left="360"/>
      </w:pPr>
      <w:r>
        <w:rPr>
          <w:rFonts w:ascii="Arial" w:hAnsi="Arial"/>
          <w:color w:val="333333"/>
          <w:sz w:val="20"/>
        </w:rPr>
        <w:t>Step 3 — Masking: 2 GPL ZETA MOL WSD Powder + 3 GPL Formic Acid 85% — 30 minutes at 90°C</w:t>
      </w:r>
    </w:p>
    <w:p/>
    <w:p>
      <w:pPr>
        <w:spacing w:before="160"/>
        <w:pBdr>
          <w:top w:val="single" w:sz="4" w:space="1" w:color="CCCCCC"/>
        </w:pBdr>
      </w:pPr>
      <w:r>
        <w:rPr>
          <w:rFonts w:ascii="Arial" w:hAnsi="Arial"/>
          <w:b/>
          <w:color w:val="555555"/>
          <w:sz w:val="16"/>
        </w:rPr>
        <w:t xml:space="preserve">Disclaimer: </w:t>
      </w:r>
      <w:r>
        <w:rPr>
          <w:rFonts w:ascii="Arial" w:hAnsi="Arial"/>
          <w:color w:val="666666"/>
          <w:sz w:val="16"/>
        </w:rPr>
        <w:t>Biochem Technologies retains the right to alter product and technical information. We assure that our products will meet Biochem Technologies’ specifications, with our liability limited to product replacement. The information provided in this datasheet serves as a guideline, believed to be accurate. Users are advised to assess recommendations before actual application. Safety Data Sheet (SDS) is available upon request.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Biochem Technologies  |  www.biochemtechnologies.com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14"/>
      <w:gridCol w:w="4514"/>
    </w:tblGrid>
    <w:tr>
      <w:tc>
        <w:tcPr>
          <w:tcW w:type="dxa" w:w="5040"/>
        </w:tcPr>
        <w:p>
          <w:r>
            <w:rPr>
              <w:rFonts w:ascii="Arial" w:hAnsi="Arial"/>
              <w:b/>
              <w:color w:val="888888"/>
              <w:sz w:val="16"/>
            </w:rPr>
            <w:t>TECHNICAL DATA SHEET</w:t>
          </w:r>
        </w:p>
      </w:tc>
      <w:tc>
        <w:tcPr>
          <w:tcW w:type="dxa" w:w="3989"/>
        </w:tcPr>
        <w:p>
          <w:pPr>
            <w:jc w:val="right"/>
          </w:pPr>
          <w:r>
            <w:drawing>
              <wp:inline xmlns:a="http://schemas.openxmlformats.org/drawingml/2006/main" xmlns:pic="http://schemas.openxmlformats.org/drawingml/2006/picture">
                <wp:extent cx="1280160" cy="478669"/>
                <wp:docPr id="1" name="Picture 1"/>
                <wp:cNvGraphicFramePr>
                  <a:graphicFrameLocks noChangeAspect="1"/>
                </wp:cNvGraphicFramePr>
                <a:graphic>
                  <a:graphicData uri="http://schemas.openxmlformats.org/drawingml/2006/picture">
                    <pic:pic>
                      <pic:nvPicPr>
                        <pic:cNvPr id="0" name="biochem_logo.png"/>
                        <pic:cNvPicPr/>
                      </pic:nvPicPr>
                      <pic:blipFill>
                        <a:blip r:embed="rId1"/>
                        <a:stretch>
                          <a:fillRect/>
                        </a:stretch>
                      </pic:blipFill>
                      <pic:spPr>
                        <a:xfrm>
                          <a:off x="0" y="0"/>
                          <a:ext cx="1280160" cy="478669"/>
                        </a:xfrm>
                        <a:prstGeom prst="rect"/>
                      </pic:spPr>
                    </pic:pic>
                  </a:graphicData>
                </a:graphic>
              </wp:inline>
            </w:drawing>
          </w:r>
        </w:p>
      </w:tc>
    </w:tr>
  </w:tbl>
  <w:p>
    <w:pPr>
      <w:pBdr>
        <w:bottom w:val="single" w:sz="12" w:space="1" w:color="0057B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