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4625" w14:textId="5E1A40AA" w:rsidR="00407197" w:rsidRDefault="00407197">
      <w:r>
        <w:rPr>
          <w:noProof/>
        </w:rPr>
        <w:drawing>
          <wp:inline distT="0" distB="0" distL="0" distR="0" wp14:anchorId="691889E4" wp14:editId="78A3D7B3">
            <wp:extent cx="5392300" cy="5603444"/>
            <wp:effectExtent l="0" t="0" r="5715" b="0"/>
            <wp:docPr id="113656647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6471" name="图片 1" descr="图示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537" cy="56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B491" w14:textId="77777777" w:rsidR="00407197" w:rsidRDefault="00407197">
      <w:pPr>
        <w:widowControl/>
        <w:jc w:val="left"/>
      </w:pPr>
      <w:r>
        <w:br w:type="page"/>
      </w:r>
    </w:p>
    <w:p w14:paraId="439D88CE" w14:textId="09FA4D02" w:rsidR="00E2487F" w:rsidRPr="00E2487F" w:rsidRDefault="00E2487F" w:rsidP="00E2487F">
      <w:r>
        <w:rPr>
          <w:rFonts w:hint="eastAsia"/>
          <w:b/>
          <w:bCs/>
        </w:rPr>
        <w:lastRenderedPageBreak/>
        <w:t>1</w:t>
      </w:r>
      <w:r w:rsidRPr="00E2487F">
        <w:rPr>
          <w:b/>
          <w:bCs/>
        </w:rPr>
        <w:t>. Visualization: Sales and profit analysis by product category</w:t>
      </w:r>
    </w:p>
    <w:p w14:paraId="51DA14EE" w14:textId="54B9382D" w:rsidR="00E2487F" w:rsidRDefault="00E2487F">
      <w:r>
        <w:rPr>
          <w:noProof/>
        </w:rPr>
        <w:drawing>
          <wp:inline distT="0" distB="0" distL="0" distR="0" wp14:anchorId="60ACFB80" wp14:editId="29E0F9DB">
            <wp:extent cx="6069069" cy="2400300"/>
            <wp:effectExtent l="0" t="0" r="8255" b="0"/>
            <wp:docPr id="1995706203" name="图片 2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6203" name="图片 2" descr="图表, 条形图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10" cy="240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FC99" w14:textId="77777777" w:rsidR="00952C80" w:rsidRDefault="00952C80" w:rsidP="00E2487F">
      <w:pPr>
        <w:rPr>
          <w:b/>
          <w:bCs/>
          <w:sz w:val="20"/>
          <w:szCs w:val="21"/>
        </w:rPr>
      </w:pPr>
    </w:p>
    <w:p w14:paraId="19E35CFA" w14:textId="77777777" w:rsidR="00952C80" w:rsidRDefault="00952C80" w:rsidP="00E2487F">
      <w:pPr>
        <w:rPr>
          <w:b/>
          <w:bCs/>
          <w:sz w:val="20"/>
          <w:szCs w:val="21"/>
        </w:rPr>
      </w:pPr>
    </w:p>
    <w:p w14:paraId="46CF50B0" w14:textId="57EF7EE1" w:rsidR="00E2487F" w:rsidRPr="00E2487F" w:rsidRDefault="00E2487F" w:rsidP="00E2487F">
      <w:p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Why it's interesting/important:</w:t>
      </w:r>
    </w:p>
    <w:p w14:paraId="51F375A0" w14:textId="77777777" w:rsidR="00952C80" w:rsidRPr="00952C80" w:rsidRDefault="00952C80" w:rsidP="00952C80">
      <w:pPr>
        <w:rPr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Strong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sales performance: </w:t>
      </w:r>
      <w:r w:rsidRPr="00952C80">
        <w:rPr>
          <w:sz w:val="20"/>
          <w:szCs w:val="21"/>
          <w:lang w:val="en-IN"/>
        </w:rPr>
        <w:t xml:space="preserve">The Technology category generated the highest revenue at approximately $836K, highlighting its significant contribution to overall business growth. </w:t>
      </w:r>
    </w:p>
    <w:p w14:paraId="03F45019" w14:textId="77777777" w:rsidR="00952C80" w:rsidRPr="00952C80" w:rsidRDefault="00952C80" w:rsidP="00952C80">
      <w:pPr>
        <w:rPr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Profitability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differences: </w:t>
      </w:r>
      <w:r w:rsidRPr="00952C80">
        <w:rPr>
          <w:sz w:val="20"/>
          <w:szCs w:val="21"/>
          <w:lang w:val="en-IN"/>
        </w:rPr>
        <w:t xml:space="preserve">Although Technology achieved the highest sales, Office Supplies demonstrated more consistent profit margins, indicating stronger profitability stability. </w:t>
      </w:r>
    </w:p>
    <w:p w14:paraId="4EB181CF" w14:textId="77777777" w:rsidR="00952C80" w:rsidRPr="00952C80" w:rsidRDefault="00952C80" w:rsidP="00952C80">
      <w:pPr>
        <w:rPr>
          <w:b/>
          <w:bCs/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Business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strategy support: </w:t>
      </w:r>
      <w:r w:rsidRPr="00952C80">
        <w:rPr>
          <w:sz w:val="20"/>
          <w:szCs w:val="21"/>
          <w:lang w:val="en-IN"/>
        </w:rPr>
        <w:t>The analysis helps identify the right balance between high-revenue and high-margin product categories.</w:t>
      </w:r>
      <w:r w:rsidRPr="00952C80">
        <w:rPr>
          <w:b/>
          <w:bCs/>
          <w:sz w:val="20"/>
          <w:szCs w:val="21"/>
          <w:lang w:val="en-IN"/>
        </w:rPr>
        <w:t xml:space="preserve"> </w:t>
      </w:r>
    </w:p>
    <w:p w14:paraId="31531731" w14:textId="0ACDBAEB" w:rsidR="00E2487F" w:rsidRDefault="00952C80" w:rsidP="00952C80">
      <w:proofErr w:type="gramStart"/>
      <w:r w:rsidRPr="00952C80">
        <w:rPr>
          <w:b/>
          <w:bCs/>
          <w:sz w:val="20"/>
          <w:szCs w:val="21"/>
          <w:lang w:val="en-IN"/>
        </w:rPr>
        <w:t>  Decision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-making insights: </w:t>
      </w:r>
      <w:r w:rsidRPr="00952C80">
        <w:rPr>
          <w:sz w:val="20"/>
          <w:szCs w:val="21"/>
          <w:lang w:val="en-IN"/>
        </w:rPr>
        <w:t>Findings provide valuable guidance for inventory planning, resource allocation, and marketing investments</w:t>
      </w:r>
      <w:r w:rsidRPr="00952C80">
        <w:rPr>
          <w:b/>
          <w:bCs/>
          <w:sz w:val="20"/>
          <w:szCs w:val="21"/>
          <w:lang w:val="en-IN"/>
        </w:rPr>
        <w:t>.</w:t>
      </w:r>
    </w:p>
    <w:p w14:paraId="1CFE4791" w14:textId="77777777" w:rsidR="00E2487F" w:rsidRDefault="00E2487F">
      <w:pPr>
        <w:widowControl/>
        <w:jc w:val="left"/>
      </w:pPr>
      <w:r>
        <w:br w:type="page"/>
      </w:r>
    </w:p>
    <w:p w14:paraId="19B2AFE4" w14:textId="47CCFC79" w:rsidR="00E2487F" w:rsidRDefault="00E2487F">
      <w:pPr>
        <w:rPr>
          <w:b/>
          <w:bCs/>
        </w:rPr>
      </w:pPr>
      <w:r w:rsidRPr="00E2487F">
        <w:rPr>
          <w:b/>
          <w:bCs/>
        </w:rPr>
        <w:lastRenderedPageBreak/>
        <w:t>2. Visualization: Regional sales distribution, profit comparison, Top 10 states by sales, and profit margin analysis</w:t>
      </w:r>
    </w:p>
    <w:p w14:paraId="3F011156" w14:textId="367BF20F" w:rsidR="00E2487F" w:rsidRDefault="00E2487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02023D" wp14:editId="78DB67C7">
            <wp:extent cx="5274310" cy="4095115"/>
            <wp:effectExtent l="0" t="0" r="0" b="0"/>
            <wp:docPr id="717047321" name="图片 3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47321" name="图片 3" descr="图表, 条形图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F7D3" w14:textId="77777777" w:rsidR="00E2487F" w:rsidRPr="00E2487F" w:rsidRDefault="00E2487F" w:rsidP="00E2487F">
      <w:pPr>
        <w:rPr>
          <w:b/>
          <w:bCs/>
          <w:sz w:val="20"/>
          <w:szCs w:val="21"/>
        </w:rPr>
      </w:pPr>
      <w:r w:rsidRPr="00E2487F">
        <w:rPr>
          <w:b/>
          <w:bCs/>
          <w:sz w:val="20"/>
          <w:szCs w:val="21"/>
        </w:rPr>
        <w:t>Why it's interesting/important:</w:t>
      </w:r>
    </w:p>
    <w:p w14:paraId="46DA952F" w14:textId="77777777" w:rsidR="00952C80" w:rsidRPr="00952C80" w:rsidRDefault="00952C80" w:rsidP="00952C80">
      <w:pPr>
        <w:rPr>
          <w:b/>
          <w:bCs/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Strong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regional performance: </w:t>
      </w:r>
      <w:r w:rsidRPr="00952C80">
        <w:rPr>
          <w:sz w:val="20"/>
          <w:szCs w:val="21"/>
          <w:lang w:val="en-IN"/>
        </w:rPr>
        <w:t xml:space="preserve">The West region contributed 31.6% of total sales while maintaining a profit margin of 14.9%, making it the highest-performing market in the analysis. </w:t>
      </w:r>
    </w:p>
    <w:p w14:paraId="4A99FBCC" w14:textId="77777777" w:rsidR="00952C80" w:rsidRPr="00952C80" w:rsidRDefault="00952C80" w:rsidP="00952C80">
      <w:pPr>
        <w:rPr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High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-potential geographic markets: </w:t>
      </w:r>
      <w:r w:rsidRPr="00952C80">
        <w:rPr>
          <w:sz w:val="20"/>
          <w:szCs w:val="21"/>
          <w:lang w:val="en-IN"/>
        </w:rPr>
        <w:t xml:space="preserve">California, New York, and Texas emerged as the leading states in terms of sales, indicating strong opportunities in densely populated regions. </w:t>
      </w:r>
    </w:p>
    <w:p w14:paraId="105DA524" w14:textId="77777777" w:rsidR="00952C80" w:rsidRPr="00952C80" w:rsidRDefault="00952C80" w:rsidP="00952C80">
      <w:pPr>
        <w:rPr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Profitability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trends across regions</w:t>
      </w:r>
      <w:r w:rsidRPr="00952C80">
        <w:rPr>
          <w:sz w:val="20"/>
          <w:szCs w:val="21"/>
          <w:lang w:val="en-IN"/>
        </w:rPr>
        <w:t xml:space="preserve">: The East and West regions achieved higher profit margins, suggesting more effective operations, stronger market demand, or successful pricing strategies. </w:t>
      </w:r>
    </w:p>
    <w:p w14:paraId="33BAB4CB" w14:textId="73951C5C" w:rsidR="00E2487F" w:rsidRPr="00952C80" w:rsidRDefault="00952C80" w:rsidP="00952C80">
      <w:proofErr w:type="gramStart"/>
      <w:r w:rsidRPr="00952C80">
        <w:rPr>
          <w:b/>
          <w:bCs/>
          <w:sz w:val="20"/>
          <w:szCs w:val="21"/>
          <w:lang w:val="en-IN"/>
        </w:rPr>
        <w:t>  Strategic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expansion insights: </w:t>
      </w:r>
      <w:r w:rsidRPr="00952C80">
        <w:rPr>
          <w:sz w:val="20"/>
          <w:szCs w:val="21"/>
          <w:lang w:val="en-IN"/>
        </w:rPr>
        <w:t>The regional analysis provides valuable guidance for future investments, market expansion initiatives, and efficient allocation of sales resources.</w:t>
      </w:r>
    </w:p>
    <w:p w14:paraId="3F4054CB" w14:textId="77777777" w:rsidR="00E2487F" w:rsidRPr="00952C80" w:rsidRDefault="00E2487F">
      <w:pPr>
        <w:widowControl/>
        <w:jc w:val="left"/>
      </w:pPr>
      <w:r w:rsidRPr="00952C80">
        <w:br w:type="page"/>
      </w:r>
    </w:p>
    <w:p w14:paraId="4C0CFCB6" w14:textId="47135B8C" w:rsidR="00E2487F" w:rsidRDefault="00E2487F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E2487F">
        <w:rPr>
          <w:b/>
          <w:bCs/>
        </w:rPr>
        <w:t>Visualization: Customer segment distribution, sales contribution, average order value, and profit analysis</w:t>
      </w:r>
    </w:p>
    <w:p w14:paraId="6DB2907E" w14:textId="16E3D33E" w:rsidR="00E2487F" w:rsidRDefault="00E2487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2BAE24" wp14:editId="4457D6E2">
            <wp:extent cx="5274310" cy="3943350"/>
            <wp:effectExtent l="0" t="0" r="0" b="0"/>
            <wp:docPr id="1545512003" name="图片 4" descr="游戏界面的截图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12003" name="图片 4" descr="游戏界面的截图图&#10;&#10;低可信度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86F" w14:textId="77777777" w:rsidR="00E2487F" w:rsidRPr="00E2487F" w:rsidRDefault="00E2487F" w:rsidP="00E2487F">
      <w:pPr>
        <w:rPr>
          <w:b/>
          <w:bCs/>
          <w:sz w:val="20"/>
          <w:szCs w:val="21"/>
        </w:rPr>
      </w:pPr>
      <w:r w:rsidRPr="00E2487F">
        <w:rPr>
          <w:b/>
          <w:bCs/>
          <w:sz w:val="20"/>
          <w:szCs w:val="21"/>
        </w:rPr>
        <w:t>Why it's interesting/important:</w:t>
      </w:r>
    </w:p>
    <w:p w14:paraId="6621478F" w14:textId="77777777" w:rsidR="00952C80" w:rsidRPr="00952C80" w:rsidRDefault="00952C80" w:rsidP="00952C80">
      <w:pPr>
        <w:rPr>
          <w:b/>
          <w:bCs/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Consumer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segment leadership: </w:t>
      </w:r>
      <w:r w:rsidRPr="00952C80">
        <w:rPr>
          <w:sz w:val="20"/>
          <w:szCs w:val="21"/>
          <w:lang w:val="en-IN"/>
        </w:rPr>
        <w:t>The Consumer segment accounted for 51.6% of the customer base and generated the highest sales revenue of approximately $1.16M, making it the primary driver of business performance.</w:t>
      </w:r>
      <w:r w:rsidRPr="00952C80">
        <w:rPr>
          <w:b/>
          <w:bCs/>
          <w:sz w:val="20"/>
          <w:szCs w:val="21"/>
          <w:lang w:val="en-IN"/>
        </w:rPr>
        <w:t xml:space="preserve"> </w:t>
      </w:r>
    </w:p>
    <w:p w14:paraId="25C324EC" w14:textId="77777777" w:rsidR="00952C80" w:rsidRPr="00952C80" w:rsidRDefault="00952C80" w:rsidP="00952C80">
      <w:pPr>
        <w:rPr>
          <w:b/>
          <w:bCs/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Home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Office growth opportunity: </w:t>
      </w:r>
      <w:r w:rsidRPr="00952C80">
        <w:rPr>
          <w:sz w:val="20"/>
          <w:szCs w:val="21"/>
          <w:lang w:val="en-IN"/>
        </w:rPr>
        <w:t>Although the Home Office segment represented only 18.7% of customers, it achieved the highest average order value of $241, highlighting its potential as a high-value market.</w:t>
      </w:r>
      <w:r w:rsidRPr="00952C80">
        <w:rPr>
          <w:b/>
          <w:bCs/>
          <w:sz w:val="20"/>
          <w:szCs w:val="21"/>
          <w:lang w:val="en-IN"/>
        </w:rPr>
        <w:t xml:space="preserve"> </w:t>
      </w:r>
    </w:p>
    <w:p w14:paraId="4A6C41C2" w14:textId="77777777" w:rsidR="00952C80" w:rsidRPr="00952C80" w:rsidRDefault="00952C80" w:rsidP="00952C80">
      <w:pPr>
        <w:rPr>
          <w:b/>
          <w:bCs/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Customer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segmentation insights: </w:t>
      </w:r>
      <w:r w:rsidRPr="00952C80">
        <w:rPr>
          <w:sz w:val="20"/>
          <w:szCs w:val="21"/>
          <w:lang w:val="en-IN"/>
        </w:rPr>
        <w:t xml:space="preserve">The analysis revealed distinct purchasing </w:t>
      </w:r>
      <w:proofErr w:type="spellStart"/>
      <w:r w:rsidRPr="00952C80">
        <w:rPr>
          <w:sz w:val="20"/>
          <w:szCs w:val="21"/>
          <w:lang w:val="en-IN"/>
        </w:rPr>
        <w:t>behaviors</w:t>
      </w:r>
      <w:proofErr w:type="spellEnd"/>
      <w:r w:rsidRPr="00952C80">
        <w:rPr>
          <w:sz w:val="20"/>
          <w:szCs w:val="21"/>
          <w:lang w:val="en-IN"/>
        </w:rPr>
        <w:t xml:space="preserve"> across customer segments, emphasizing the need for targeted marketing and engagement strategies.</w:t>
      </w:r>
      <w:r w:rsidRPr="00952C80">
        <w:rPr>
          <w:b/>
          <w:bCs/>
          <w:sz w:val="20"/>
          <w:szCs w:val="21"/>
          <w:lang w:val="en-IN"/>
        </w:rPr>
        <w:t xml:space="preserve"> </w:t>
      </w:r>
    </w:p>
    <w:p w14:paraId="6BEBC7E4" w14:textId="36238904" w:rsidR="00E2487F" w:rsidRPr="00952C80" w:rsidRDefault="00952C80" w:rsidP="00952C80">
      <w:proofErr w:type="gramStart"/>
      <w:r w:rsidRPr="00952C80">
        <w:rPr>
          <w:b/>
          <w:bCs/>
          <w:sz w:val="20"/>
          <w:szCs w:val="21"/>
          <w:lang w:val="en-IN"/>
        </w:rPr>
        <w:t>  Strategic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customer management: </w:t>
      </w:r>
      <w:r w:rsidRPr="00952C80">
        <w:rPr>
          <w:sz w:val="20"/>
          <w:szCs w:val="21"/>
          <w:lang w:val="en-IN"/>
        </w:rPr>
        <w:t>These findings can support better decisions related to customer acquisition, retention initiatives, and long-term customer value optimization.</w:t>
      </w:r>
    </w:p>
    <w:p w14:paraId="2F0DFF39" w14:textId="77777777" w:rsidR="00E2487F" w:rsidRDefault="00E2487F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34C68010" w14:textId="477F2286" w:rsidR="00E2487F" w:rsidRDefault="00E2487F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E2487F">
        <w:rPr>
          <w:b/>
          <w:bCs/>
        </w:rPr>
        <w:t>Visualization: Monthly sales trends, profit trends, order count patterns, and sales-profit correlation analysis</w:t>
      </w:r>
    </w:p>
    <w:p w14:paraId="586BCA42" w14:textId="0A31DBBD" w:rsidR="00E2487F" w:rsidRDefault="00E2487F">
      <w:r>
        <w:rPr>
          <w:noProof/>
        </w:rPr>
        <w:drawing>
          <wp:inline distT="0" distB="0" distL="0" distR="0" wp14:anchorId="35C793CA" wp14:editId="3BC65FD9">
            <wp:extent cx="5274310" cy="4399915"/>
            <wp:effectExtent l="0" t="0" r="0" b="0"/>
            <wp:docPr id="1217953436" name="图片 5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53436" name="图片 5" descr="图片包含 图表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4A9C" w14:textId="77777777" w:rsidR="00E2487F" w:rsidRPr="00E2487F" w:rsidRDefault="00E2487F" w:rsidP="00E2487F">
      <w:p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Why it's interesting/important:</w:t>
      </w:r>
    </w:p>
    <w:p w14:paraId="61B8A5B2" w14:textId="77777777" w:rsidR="00952C80" w:rsidRPr="00952C80" w:rsidRDefault="00952C80" w:rsidP="00952C80">
      <w:pPr>
        <w:rPr>
          <w:b/>
          <w:bCs/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Seasonal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sales trends: </w:t>
      </w:r>
      <w:r w:rsidRPr="00952C80">
        <w:rPr>
          <w:sz w:val="20"/>
          <w:szCs w:val="21"/>
          <w:lang w:val="en-IN"/>
        </w:rPr>
        <w:t>Sales consistently increased toward the end of the year, reflecting the influence of holiday seasons and year-end business activities.</w:t>
      </w:r>
      <w:r w:rsidRPr="00952C80">
        <w:rPr>
          <w:b/>
          <w:bCs/>
          <w:sz w:val="20"/>
          <w:szCs w:val="21"/>
          <w:lang w:val="en-IN"/>
        </w:rPr>
        <w:t xml:space="preserve"> </w:t>
      </w:r>
    </w:p>
    <w:p w14:paraId="03B98C30" w14:textId="77777777" w:rsidR="00952C80" w:rsidRPr="00952C80" w:rsidRDefault="00952C80" w:rsidP="00952C80">
      <w:pPr>
        <w:rPr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Positive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sales-profit relationship: </w:t>
      </w:r>
      <w:r w:rsidRPr="00952C80">
        <w:rPr>
          <w:sz w:val="20"/>
          <w:szCs w:val="21"/>
          <w:lang w:val="en-IN"/>
        </w:rPr>
        <w:t xml:space="preserve">A correlation coefficient of 0.716 indicates a strong connection between revenue growth and profitability. </w:t>
      </w:r>
    </w:p>
    <w:p w14:paraId="0043BDD8" w14:textId="77777777" w:rsidR="00952C80" w:rsidRPr="00952C80" w:rsidRDefault="00952C80" w:rsidP="00952C80">
      <w:pPr>
        <w:rPr>
          <w:b/>
          <w:bCs/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Business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growth evidence: </w:t>
      </w:r>
      <w:r w:rsidRPr="00952C80">
        <w:rPr>
          <w:sz w:val="20"/>
          <w:szCs w:val="21"/>
          <w:lang w:val="en-IN"/>
        </w:rPr>
        <w:t>The noticeable increase in sales and profit during late 2017 suggests successful expansion and improved business performance.</w:t>
      </w:r>
      <w:r w:rsidRPr="00952C80">
        <w:rPr>
          <w:b/>
          <w:bCs/>
          <w:sz w:val="20"/>
          <w:szCs w:val="21"/>
          <w:lang w:val="en-IN"/>
        </w:rPr>
        <w:t xml:space="preserve"> </w:t>
      </w:r>
    </w:p>
    <w:p w14:paraId="41D6C7FB" w14:textId="77777777" w:rsidR="00952C80" w:rsidRPr="00952C80" w:rsidRDefault="00952C80" w:rsidP="00952C80">
      <w:pPr>
        <w:rPr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Forecasting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opportunities: </w:t>
      </w:r>
      <w:r w:rsidRPr="00952C80">
        <w:rPr>
          <w:sz w:val="20"/>
          <w:szCs w:val="21"/>
          <w:lang w:val="en-IN"/>
        </w:rPr>
        <w:t xml:space="preserve">Historical sales patterns can be used to support future demand forecasting and inventory management strategies. </w:t>
      </w:r>
    </w:p>
    <w:p w14:paraId="40A6603A" w14:textId="67C2D115" w:rsidR="00E2487F" w:rsidRDefault="00952C80" w:rsidP="00952C80">
      <w:pPr>
        <w:rPr>
          <w:sz w:val="20"/>
          <w:szCs w:val="21"/>
          <w:lang w:val="en-IN"/>
        </w:rPr>
      </w:pPr>
      <w:proofErr w:type="gramStart"/>
      <w:r w:rsidRPr="00952C80">
        <w:rPr>
          <w:b/>
          <w:bCs/>
          <w:sz w:val="20"/>
          <w:szCs w:val="21"/>
          <w:lang w:val="en-IN"/>
        </w:rPr>
        <w:t>  Financial</w:t>
      </w:r>
      <w:proofErr w:type="gramEnd"/>
      <w:r w:rsidRPr="00952C80">
        <w:rPr>
          <w:b/>
          <w:bCs/>
          <w:sz w:val="20"/>
          <w:szCs w:val="21"/>
          <w:lang w:val="en-IN"/>
        </w:rPr>
        <w:t xml:space="preserve"> planning support: </w:t>
      </w:r>
      <w:r w:rsidRPr="00952C80">
        <w:rPr>
          <w:sz w:val="20"/>
          <w:szCs w:val="21"/>
          <w:lang w:val="en-IN"/>
        </w:rPr>
        <w:t>Understanding revenue fluctuations enables more effective budgeting, cash flow management, and resource allocation.</w:t>
      </w:r>
    </w:p>
    <w:p w14:paraId="7D5DF511" w14:textId="77777777" w:rsidR="00EB788E" w:rsidRDefault="00EB788E" w:rsidP="00952C80">
      <w:pPr>
        <w:rPr>
          <w:sz w:val="20"/>
          <w:szCs w:val="21"/>
          <w:lang w:val="en-IN"/>
        </w:rPr>
      </w:pPr>
    </w:p>
    <w:p w14:paraId="58407C30" w14:textId="77777777" w:rsidR="00EB788E" w:rsidRDefault="00EB788E" w:rsidP="00952C80">
      <w:pPr>
        <w:rPr>
          <w:sz w:val="20"/>
          <w:szCs w:val="21"/>
          <w:lang w:val="en-IN"/>
        </w:rPr>
      </w:pPr>
    </w:p>
    <w:p w14:paraId="5781D5B1" w14:textId="77777777" w:rsidR="00EB788E" w:rsidRDefault="00EB788E" w:rsidP="00952C80">
      <w:pPr>
        <w:rPr>
          <w:sz w:val="20"/>
          <w:szCs w:val="21"/>
          <w:lang w:val="en-IN"/>
        </w:rPr>
      </w:pPr>
    </w:p>
    <w:p w14:paraId="4F2401F5" w14:textId="77777777" w:rsidR="00EB788E" w:rsidRDefault="00EB788E" w:rsidP="00952C80">
      <w:pPr>
        <w:rPr>
          <w:sz w:val="20"/>
          <w:szCs w:val="21"/>
          <w:lang w:val="en-IN"/>
        </w:rPr>
      </w:pPr>
    </w:p>
    <w:p w14:paraId="5230BF5E" w14:textId="77777777" w:rsidR="00EB788E" w:rsidRDefault="00EB788E" w:rsidP="00952C80">
      <w:pPr>
        <w:rPr>
          <w:sz w:val="20"/>
          <w:szCs w:val="21"/>
          <w:lang w:val="en-IN"/>
        </w:rPr>
      </w:pPr>
    </w:p>
    <w:p w14:paraId="7B6AD24F" w14:textId="77777777" w:rsidR="00EB788E" w:rsidRDefault="00EB788E" w:rsidP="00952C80">
      <w:pPr>
        <w:rPr>
          <w:sz w:val="20"/>
          <w:szCs w:val="21"/>
          <w:lang w:val="en-IN"/>
        </w:rPr>
      </w:pPr>
    </w:p>
    <w:p w14:paraId="14C830E8" w14:textId="77777777" w:rsidR="00EB788E" w:rsidRDefault="00EB788E" w:rsidP="00952C80">
      <w:pPr>
        <w:rPr>
          <w:sz w:val="20"/>
          <w:szCs w:val="21"/>
          <w:lang w:val="en-IN"/>
        </w:rPr>
      </w:pPr>
    </w:p>
    <w:p w14:paraId="75845A11" w14:textId="77777777" w:rsidR="00EB788E" w:rsidRDefault="00EB788E" w:rsidP="00952C80">
      <w:pPr>
        <w:rPr>
          <w:sz w:val="20"/>
          <w:szCs w:val="21"/>
          <w:lang w:val="en-IN"/>
        </w:rPr>
      </w:pPr>
    </w:p>
    <w:p w14:paraId="5CE66370" w14:textId="77777777" w:rsidR="00EB788E" w:rsidRDefault="00EB788E" w:rsidP="00952C80">
      <w:pPr>
        <w:rPr>
          <w:sz w:val="20"/>
          <w:szCs w:val="21"/>
          <w:lang w:val="en-IN"/>
        </w:rPr>
      </w:pPr>
    </w:p>
    <w:p w14:paraId="43C8753A" w14:textId="77777777" w:rsidR="00EB788E" w:rsidRDefault="00EB788E" w:rsidP="00952C80">
      <w:pPr>
        <w:rPr>
          <w:sz w:val="20"/>
          <w:szCs w:val="21"/>
          <w:lang w:val="en-IN"/>
        </w:rPr>
      </w:pPr>
    </w:p>
    <w:p w14:paraId="267778FE" w14:textId="77777777" w:rsidR="00EB788E" w:rsidRDefault="00EB788E" w:rsidP="00952C80">
      <w:pPr>
        <w:rPr>
          <w:sz w:val="20"/>
          <w:szCs w:val="21"/>
          <w:lang w:val="en-IN"/>
        </w:rPr>
      </w:pPr>
    </w:p>
    <w:p w14:paraId="754222CC" w14:textId="7E73B2E1" w:rsidR="00EB788E" w:rsidRDefault="00D5224A" w:rsidP="00952C80">
      <w:pPr>
        <w:rPr>
          <w:sz w:val="20"/>
          <w:szCs w:val="21"/>
          <w:lang w:val="en-IN"/>
        </w:rPr>
      </w:pPr>
      <w:r>
        <w:rPr>
          <w:noProof/>
        </w:rPr>
        <w:drawing>
          <wp:inline distT="0" distB="0" distL="0" distR="0" wp14:anchorId="37A25295" wp14:editId="0E035D95">
            <wp:extent cx="5274310" cy="4399915"/>
            <wp:effectExtent l="0" t="0" r="2540" b="635"/>
            <wp:docPr id="1641832853" name="图片 5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53436" name="图片 5" descr="图片包含 图表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CC1B" w14:textId="77777777" w:rsidR="00EB788E" w:rsidRDefault="00EB788E" w:rsidP="00952C80">
      <w:pPr>
        <w:rPr>
          <w:sz w:val="20"/>
          <w:szCs w:val="21"/>
          <w:lang w:val="en-IN"/>
        </w:rPr>
      </w:pPr>
    </w:p>
    <w:p w14:paraId="243CA107" w14:textId="77777777" w:rsidR="00EB788E" w:rsidRDefault="00EB788E" w:rsidP="00952C80">
      <w:pPr>
        <w:rPr>
          <w:sz w:val="20"/>
          <w:szCs w:val="21"/>
          <w:lang w:val="en-IN"/>
        </w:rPr>
      </w:pPr>
    </w:p>
    <w:p w14:paraId="523CB55F" w14:textId="77777777" w:rsidR="00EB788E" w:rsidRDefault="00EB788E" w:rsidP="00952C80">
      <w:pPr>
        <w:rPr>
          <w:sz w:val="20"/>
          <w:szCs w:val="21"/>
          <w:lang w:val="en-IN"/>
        </w:rPr>
      </w:pPr>
    </w:p>
    <w:p w14:paraId="68693EE4" w14:textId="77777777" w:rsidR="00EB788E" w:rsidRDefault="00EB788E" w:rsidP="00952C80">
      <w:pPr>
        <w:rPr>
          <w:sz w:val="20"/>
          <w:szCs w:val="21"/>
          <w:lang w:val="en-IN"/>
        </w:rPr>
      </w:pPr>
    </w:p>
    <w:p w14:paraId="66E400A7" w14:textId="77777777" w:rsidR="00EB788E" w:rsidRDefault="00EB788E" w:rsidP="00952C80">
      <w:pPr>
        <w:rPr>
          <w:sz w:val="20"/>
          <w:szCs w:val="21"/>
          <w:lang w:val="en-IN"/>
        </w:rPr>
      </w:pPr>
    </w:p>
    <w:p w14:paraId="34AAE6F3" w14:textId="5A8D173E" w:rsidR="00EB788E" w:rsidRPr="00952C80" w:rsidRDefault="00EB788E" w:rsidP="00952C80"/>
    <w:sectPr w:rsidR="00EB788E" w:rsidRPr="00952C80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CC1E4" w14:textId="77777777" w:rsidR="000A65A8" w:rsidRDefault="000A65A8" w:rsidP="0077052C">
      <w:r>
        <w:separator/>
      </w:r>
    </w:p>
  </w:endnote>
  <w:endnote w:type="continuationSeparator" w:id="0">
    <w:p w14:paraId="7060F4AB" w14:textId="77777777" w:rsidR="000A65A8" w:rsidRDefault="000A65A8" w:rsidP="00770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2A93" w14:textId="77777777" w:rsidR="000A65A8" w:rsidRDefault="000A65A8" w:rsidP="0077052C">
      <w:r>
        <w:separator/>
      </w:r>
    </w:p>
  </w:footnote>
  <w:footnote w:type="continuationSeparator" w:id="0">
    <w:p w14:paraId="491E0F51" w14:textId="77777777" w:rsidR="000A65A8" w:rsidRDefault="000A65A8" w:rsidP="00770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2F1A" w14:textId="75295EF1" w:rsidR="0077052C" w:rsidRDefault="00952C80" w:rsidP="0077052C">
    <w:pPr>
      <w:pStyle w:val="Header"/>
      <w:jc w:val="left"/>
      <w:rPr>
        <w:sz w:val="20"/>
        <w:szCs w:val="20"/>
        <w:lang w:val="en-IN"/>
      </w:rPr>
    </w:pPr>
    <w:r>
      <w:rPr>
        <w:sz w:val="20"/>
        <w:szCs w:val="20"/>
        <w:lang w:val="en-IN"/>
      </w:rPr>
      <w:t>Soumika</w:t>
    </w:r>
  </w:p>
  <w:p w14:paraId="075C7C5C" w14:textId="77777777" w:rsidR="00952C80" w:rsidRPr="00952C80" w:rsidRDefault="00952C80" w:rsidP="0077052C">
    <w:pPr>
      <w:pStyle w:val="Header"/>
      <w:jc w:val="left"/>
      <w:rPr>
        <w:sz w:val="20"/>
        <w:szCs w:val="20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ECB"/>
    <w:multiLevelType w:val="multilevel"/>
    <w:tmpl w:val="96A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762E"/>
    <w:multiLevelType w:val="multilevel"/>
    <w:tmpl w:val="0B2A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4AB0"/>
    <w:multiLevelType w:val="multilevel"/>
    <w:tmpl w:val="2E1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A5AAC"/>
    <w:multiLevelType w:val="multilevel"/>
    <w:tmpl w:val="63B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05194">
    <w:abstractNumId w:val="1"/>
  </w:num>
  <w:num w:numId="2" w16cid:durableId="939412153">
    <w:abstractNumId w:val="2"/>
  </w:num>
  <w:num w:numId="3" w16cid:durableId="1403748069">
    <w:abstractNumId w:val="3"/>
  </w:num>
  <w:num w:numId="4" w16cid:durableId="149286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7F"/>
    <w:rsid w:val="000A65A8"/>
    <w:rsid w:val="000C410B"/>
    <w:rsid w:val="003B25A4"/>
    <w:rsid w:val="00407197"/>
    <w:rsid w:val="004E5BF5"/>
    <w:rsid w:val="0077052C"/>
    <w:rsid w:val="008A5BC5"/>
    <w:rsid w:val="00952C80"/>
    <w:rsid w:val="00A50ABD"/>
    <w:rsid w:val="00A96B14"/>
    <w:rsid w:val="00B433B1"/>
    <w:rsid w:val="00BE6825"/>
    <w:rsid w:val="00CB316D"/>
    <w:rsid w:val="00CE0FDC"/>
    <w:rsid w:val="00D5224A"/>
    <w:rsid w:val="00E2487F"/>
    <w:rsid w:val="00EB788E"/>
    <w:rsid w:val="00FB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2424"/>
  <w15:chartTrackingRefBased/>
  <w15:docId w15:val="{A7B6B84C-F46A-C648-AA54-0CA30E07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48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8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8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8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8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8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8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8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8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87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87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87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87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87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87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248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8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8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5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7052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705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705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ShuhanYang</dc:creator>
  <cp:keywords/>
  <dc:description/>
  <cp:lastModifiedBy>Jinka Soumika</cp:lastModifiedBy>
  <cp:revision>6</cp:revision>
  <dcterms:created xsi:type="dcterms:W3CDTF">2026-06-14T09:50:00Z</dcterms:created>
  <dcterms:modified xsi:type="dcterms:W3CDTF">2026-06-14T16:46:00Z</dcterms:modified>
</cp:coreProperties>
</file>