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4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4E8"/>
                <w:sz w:val="24"/>
                <w:szCs w:val="24"/>
              </w:rPr>
              <w:t xml:space="preserve">EXECUTIVE SUMMARY</w:t>
            </w: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Customer Retention Intelligence Report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AC4E8"/>
                <w:sz w:val="18"/>
                <w:szCs w:val="18"/>
              </w:rPr>
              <w:t xml:space="preserve">The European Central Bank  |  Confidential  |  2025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SITUATION OVERVIEW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Across a portfolio of 10,000 retail banking customers, the European Central Bank is experiencing a portfolio-wide churn rate of 20.4% — a level that, if sustained, represents a material threat to deposit stability, net interest income, and long-term customer lifetime value. This analysis establishes that churn is not random: it is structurally concentrated in identifiable, reachable customer segments.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core finding is unambiguous: customer engagement depth — not account balance or income level — is the primary driver of retention. Banks that treat high-balance, low-engagement customers as inherently loyal are systematically underestimating churn exposure.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3226" w:val="clear"/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20.4%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1,247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4E00" w:val="clear"/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371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3226" w:val="clear"/>
            <w:tcMar>
              <w:top w:type="dxa" w:w="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Portfolio Churn Rate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High-Value at Risk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4E00" w:val="clear"/>
            <w:tcMar>
              <w:top w:type="dxa" w:w="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Premium Churners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51.5%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32.4%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€76K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Active Members Only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Germany Churn Rate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Avg Customer Balance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THREE CRITICAL FINDINGS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Finding 1: The High-Value Disengaged Crisis: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1,247 customers hold account balances in the top 25% of the portfolio (above €127,644) yet show zero active engagement with the bank. These customers churn at 30.5% — significantly above the portfolio average. A conservative projection suggests a potential balance outflow exceeding €47 million if this segment is not proactively retained.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Finding 2: Silent Premium Departures: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371 high-salary customers (top income quartile, above €149,388) exited the bank holding only a single product. Critically, 48% were still classified as active members at the point of departure — meaning they were not disengaged, but under-served. The bank had access to premium customers and failed to deepen the relationship before losing them entirely.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Finding 3: Germany Market Structural 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German customers churn at 32.4% — double the rates observed in France (16.2%) and Spain (16.7%). German customers also hold the highest average balances in the portfolio (€119,730). This combination of high value and elevated churn risk makes Germany the single highest-priority geographic market for retention investment.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THE DATA TELLS 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Engagement is protective: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High-engagement customers churn at 12.3% versus 31.0% for low-engagement customers — a 150% churn differential driven entirely by behavioral depth.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Two products is the loyalty threshold: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Customers with 2 bank products churn at only 7.6%, compared to 27.7% for single-product holders. Moving customers across this threshold is the single most powerful retention action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Age 46–55 is a retention crisis point: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50.6% of customers in the 46–55 age bracket churned — the highest of any age group. This segment has complex financial needs (pensions, mortgages, investments) that require proactive advisory relationships.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Female customers are disproportionately at 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Female customers churn at 25.1% versus 16.5% for male customers. This 52% gender differential warrants investigation into whether product offerings and communication are adequately addressing female customer priorities.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Inactive members are twice as likely to leave: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Inactive members churn at 26.9% versus 14.3% for active members. Half the portfolio (48.5%) is currently classified as inactive — representing the largest addressable retention lever available.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RECOMMENDED ACTIONS FOR GOVERNMENT STAKEHOLDERS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recommendations are prioritised by urgency and estimated impact. We recommend Board-level endorsement of the Critical actions within 30 days, with programme funding allocated in the next budget cycle.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32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93226"/>
                <w:sz w:val="22"/>
                <w:szCs w:val="22"/>
              </w:rPr>
              <w:t xml:space="preserve">Emergency Re-engagement: High-Value Disengaged Segment</w:t>
            </w: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  [CRITICAL]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Finding: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1,247 customers with top-quartile balances are completely inactive — facing a 30.5% churn rate.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Action: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dedicated relationship managers to all HVD accounts. Launch VIP reactivation programme with preferential rates and personalised wealth consultations within 30 days.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4E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4E00"/>
                <w:sz w:val="22"/>
                <w:szCs w:val="22"/>
              </w:rPr>
              <w:t xml:space="preserve">Premium Customer Deepening Programme</w:t>
            </w:r>
            <w:r>
              <w:rPr>
                <w:rFonts w:ascii="Arial" w:cs="Arial" w:eastAsia="Arial" w:hAnsi="Arial"/>
                <w:b/>
                <w:bCs/>
                <w:color w:val="BF4E00"/>
                <w:sz w:val="18"/>
                <w:szCs w:val="18"/>
              </w:rPr>
              <w:t xml:space="preserve">  [CRITICAL]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Finding: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371 high-salary customers left with only 1 product — the bank failed to serve their full financial needs.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Action: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Introduce AI-driven Next Best Offer engine for top-salary customers. Launch private banking bundles: investment + savings + credit + advisory. Mandate 90-day onboarding review for all new high-income customers.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Germany Market Intervention</w:t>
            </w: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  [HIGH]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Finding: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Germany churn rate (32.4%) is double other markets despite higher average balances (€119,730).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Action: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Commission independent German market study: exit interview programme, competitive benchmarking of fees and digital services, German-language service quality review.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Portfolio-Wide Activation Drive</w:t>
            </w: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  [HIGH]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Finding: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51.5% of customers are active. Inactive members churn at 26.9% — nearly twice the active rate.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Action: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 "Bank Active" loyalty programme: reward points for digital logins, transactions, product adoption. Target all 4,855 inactive customers with personalised reactivation campaign.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75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0750A"/>
                <w:sz w:val="22"/>
                <w:szCs w:val="22"/>
              </w:rPr>
              <w:t xml:space="preserve">Mid-Life Advisory Service Launch</w:t>
            </w:r>
            <w:r>
              <w:rPr>
                <w:rFonts w:ascii="Arial" w:cs="Arial" w:eastAsia="Arial" w:hAnsi="Arial"/>
                <w:b/>
                <w:bCs/>
                <w:color w:val="A0750A"/>
                <w:sz w:val="18"/>
                <w:szCs w:val="18"/>
              </w:rPr>
              <w:t xml:space="preserve">  [MEDIUM]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Finding: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50.6% churn in the 46–55 bracket — these customers have complex needs that are not being met.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Action: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Introduce dedicated pension planning, mortgage review, and investment advisory services targeted at the 46–55 segment. Position the bank as a trusted life-stage financial partner.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INVESTMENT CASE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5 initiatives above are not cost centres — they are revenue protection and growth investments. A 5 percentage point reduction in portfolio churn rate (from 20.4% to 15.4%) across a 10,000-customer portfolio would retain approximately 500 additional customers annually.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an average balance of €76,486 per customer, </w:t>
      </w: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retaining 500 additional customers represents €38.2 million in preserved deposits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generating net interest income of approximately €1.1–1.5 million annually at current European lending spreads, before accounting for cross-sell revenue.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cost of inaction — losing 2,037 customers at €76,486 average balance — is a portfolio balance reduction of €155.8 million per churn cycle. Retention is not a customer service function. It is a core balance sheet strategy.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The path to retention excellence in European banking runs through behavioural engagement, not product complexity. We recommend immediate action on the Critical priorities outlined in this report.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AAC4E8"/>
                <w:sz w:val="18"/>
                <w:szCs w:val="18"/>
              </w:rPr>
              <w:t xml:space="preserve">For full EDA methodology, detailed segment profiles, and the interactive analytics dashboard, please refer to the accompanying Research Paper and Streamlit Platform.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European Central Bank  |  Customer Retention Intelligence  |  2025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4" w:space="2"/>
      </w:pBdr>
      <w:jc w:val="right"/>
    </w:pPr>
    <w:r>
      <w:rPr>
        <w:rFonts w:ascii="Arial" w:cs="Arial" w:eastAsia="Arial" w:hAnsi="Arial"/>
        <w:b/>
        <w:bCs/>
        <w:color w:val="A93226"/>
        <w:sz w:val="16"/>
        <w:szCs w:val="16"/>
      </w:rPr>
      <w:t xml:space="preserve">EXECUTIVE SUMMARY —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2026-03-07T19:14:46.110Z</dcterms:created>
  <dcterms:modified xsi:type="dcterms:W3CDTF">2026-03-07T19:14:46.111Z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