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B73" w:val="clear"/>
            <w:tcMar>
              <w:top w:type="dxa" w:w="600"/>
              <w:left w:type="dxa" w:w="400"/>
              <w:bottom w:type="dxa" w:w="600"/>
              <w:right w:type="dxa" w:w="400"/>
            </w:tcMar>
          </w:tcPr>
          <w:p>
            <w:pPr>
              <w:jc w:val="center"/>
            </w:pPr>
            <w:r>
              <w:rPr>
                <w:rFonts w:ascii="Arial" w:cs="Arial" w:eastAsia="Arial" w:hAnsi="Arial"/>
                <w:b/>
                <w:bCs/>
                <w:color w:val="AAC4E8"/>
                <w:sz w:val="24"/>
                <w:szCs w:val="24"/>
              </w:rPr>
              <w:t xml:space="preserve">RESEARCH PAPER</w:t>
            </w:r>
          </w:p>
          <w:p>
            <w:pPr>
              <w:spacing w:before="100" w:after="100"/>
            </w:pPr>
            <w:r>
              <w:t xml:space="preserve"/>
            </w:r>
          </w:p>
          <w:p>
            <w:pPr>
              <w:jc w:val="center"/>
            </w:pPr>
            <w:r>
              <w:rPr>
                <w:rFonts w:ascii="Arial" w:cs="Arial" w:eastAsia="Arial" w:hAnsi="Arial"/>
                <w:b/>
                <w:bCs/>
                <w:color w:val="FFFFFF"/>
                <w:sz w:val="56"/>
                <w:szCs w:val="56"/>
              </w:rPr>
              <w:t xml:space="preserve">Customer Engagement &amp;</w:t>
            </w:r>
          </w:p>
          <w:p>
            <w:pPr>
              <w:jc w:val="center"/>
            </w:pPr>
            <w:r>
              <w:rPr>
                <w:rFonts w:ascii="Arial" w:cs="Arial" w:eastAsia="Arial" w:hAnsi="Arial"/>
                <w:b/>
                <w:bCs/>
                <w:color w:val="FFFFFF"/>
                <w:sz w:val="56"/>
                <w:szCs w:val="56"/>
              </w:rPr>
              <w:t xml:space="preserve">Product Utilization Analytics</w:t>
            </w:r>
          </w:p>
          <w:p>
            <w:pPr>
              <w:jc w:val="center"/>
            </w:pPr>
            <w:r>
              <w:rPr>
                <w:rFonts w:ascii="Arial" w:cs="Arial" w:eastAsia="Arial" w:hAnsi="Arial"/>
                <w:b/>
                <w:bCs/>
                <w:color w:val="AAC4E8"/>
                <w:sz w:val="56"/>
                <w:szCs w:val="56"/>
              </w:rPr>
              <w:t xml:space="preserve">for Retention Strategy</w:t>
            </w:r>
          </w:p>
          <w:p>
            <w:pPr>
              <w:spacing w:before="200" w:after="200"/>
            </w:pPr>
            <w:r>
              <w:t xml:space="preserve"/>
            </w:r>
          </w:p>
          <w:p>
            <w:pPr>
              <w:jc w:val="center"/>
            </w:pPr>
            <w:r>
              <w:rPr>
                <w:rFonts w:ascii="Arial" w:cs="Arial" w:eastAsia="Arial" w:hAnsi="Arial"/>
                <w:color w:val="AAC4E8"/>
                <w:sz w:val="20"/>
                <w:szCs w:val="20"/>
              </w:rPr>
              <w:t xml:space="preserve">The European Central Bank  |  Dataset: 10,000 Customers  |  Year: 2025</w:t>
            </w:r>
          </w:p>
          <w:p>
            <w:pPr>
              <w:spacing w:before="80" w:after="80"/>
            </w:pPr>
            <w:r>
              <w:t xml:space="preserve"/>
            </w:r>
          </w:p>
          <w:p>
            <w:pPr>
              <w:jc w:val="center"/>
            </w:pPr>
            <w:r>
              <w:rPr>
                <w:rFonts w:ascii="Arial" w:cs="Arial" w:eastAsia="Arial" w:hAnsi="Arial"/>
                <w:color w:val="DDDDDD"/>
                <w:sz w:val="18"/>
                <w:szCs w:val="18"/>
              </w:rPr>
              <w:t xml:space="preserve">Prepared by: Senior Data Analytics Division</w:t>
            </w:r>
          </w:p>
        </w:tc>
      </w:tr>
    </w:tbl>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C0392B" w:val="clear"/>
            <w:tcMar>
              <w:top w:type="dxa" w:w="100"/>
              <w:left w:type="dxa" w:w="120"/>
              <w:bottom w:type="dxa" w:w="60"/>
              <w:right w:type="dxa" w:w="120"/>
            </w:tcMar>
          </w:tcPr>
          <w:p>
            <w:pPr>
              <w:jc w:val="center"/>
            </w:pPr>
            <w:r>
              <w:rPr>
                <w:rFonts w:ascii="Arial" w:cs="Arial" w:eastAsia="Arial" w:hAnsi="Arial"/>
                <w:b/>
                <w:bCs/>
                <w:color w:val="FFFFFF"/>
                <w:sz w:val="44"/>
                <w:szCs w:val="44"/>
              </w:rPr>
              <w:t xml:space="preserve">20.4%</w:t>
            </w:r>
          </w:p>
        </w:tc>
        <w:tc>
          <w:tcPr>
            <w:tcW w:type="dxa" w:w="3120"/>
            <w:tcBorders>
              <w:top w:val="none" w:color="FFFFFF" w:sz="0"/>
              <w:left w:val="none" w:color="FFFFFF" w:sz="0"/>
              <w:bottom w:val="none" w:color="FFFFFF" w:sz="0"/>
              <w:right w:val="none" w:color="FFFFFF" w:sz="0"/>
            </w:tcBorders>
            <w:shd w:fill="0D6E6E" w:val="clear"/>
            <w:tcMar>
              <w:top w:type="dxa" w:w="100"/>
              <w:left w:type="dxa" w:w="120"/>
              <w:bottom w:type="dxa" w:w="60"/>
              <w:right w:type="dxa" w:w="120"/>
            </w:tcMar>
          </w:tcPr>
          <w:p>
            <w:pPr>
              <w:jc w:val="center"/>
            </w:pPr>
            <w:r>
              <w:rPr>
                <w:rFonts w:ascii="Arial" w:cs="Arial" w:eastAsia="Arial" w:hAnsi="Arial"/>
                <w:b/>
                <w:bCs/>
                <w:color w:val="FFFFFF"/>
                <w:sz w:val="44"/>
                <w:szCs w:val="44"/>
              </w:rPr>
              <w:t xml:space="preserve">51.5%</w:t>
            </w:r>
          </w:p>
        </w:tc>
        <w:tc>
          <w:tcPr>
            <w:tcW w:type="dxa" w:w="3120"/>
            <w:tcBorders>
              <w:top w:val="none" w:color="FFFFFF" w:sz="0"/>
              <w:left w:val="none" w:color="FFFFFF" w:sz="0"/>
              <w:bottom w:val="none" w:color="FFFFFF" w:sz="0"/>
              <w:right w:val="none" w:color="FFFFFF" w:sz="0"/>
            </w:tcBorders>
            <w:shd w:fill="2E5FA3" w:val="clear"/>
            <w:tcMar>
              <w:top w:type="dxa" w:w="100"/>
              <w:left w:type="dxa" w:w="120"/>
              <w:bottom w:type="dxa" w:w="60"/>
              <w:right w:type="dxa" w:w="120"/>
            </w:tcMar>
          </w:tcPr>
          <w:p>
            <w:pPr>
              <w:jc w:val="center"/>
            </w:pPr>
            <w:r>
              <w:rPr>
                <w:rFonts w:ascii="Arial" w:cs="Arial" w:eastAsia="Arial" w:hAnsi="Arial"/>
                <w:b/>
                <w:bCs/>
                <w:color w:val="FFFFFF"/>
                <w:sz w:val="44"/>
                <w:szCs w:val="44"/>
              </w:rPr>
              <w:t xml:space="preserve">5.38/9</w:t>
            </w:r>
          </w:p>
        </w:tc>
      </w:tr>
      <w:tr>
        <w:tc>
          <w:tcPr>
            <w:tcW w:type="dxa" w:w="3120"/>
            <w:tcBorders>
              <w:top w:val="none" w:color="FFFFFF" w:sz="0"/>
              <w:left w:val="none" w:color="FFFFFF" w:sz="0"/>
              <w:bottom w:val="none" w:color="FFFFFF" w:sz="0"/>
              <w:right w:val="none" w:color="FFFFFF" w:sz="0"/>
            </w:tcBorders>
            <w:shd w:fill="C0392B" w:val="clear"/>
            <w:tcMar>
              <w:top w:type="dxa" w:w="0"/>
              <w:left w:type="dxa" w:w="80"/>
              <w:bottom w:type="dxa" w:w="100"/>
              <w:right w:type="dxa" w:w="80"/>
            </w:tcMar>
          </w:tcPr>
          <w:p>
            <w:pPr>
              <w:jc w:val="center"/>
            </w:pPr>
            <w:r>
              <w:rPr>
                <w:rFonts w:ascii="Arial" w:cs="Arial" w:eastAsia="Arial" w:hAnsi="Arial"/>
                <w:color w:val="FFFFFF"/>
                <w:sz w:val="16"/>
                <w:szCs w:val="16"/>
              </w:rPr>
              <w:t xml:space="preserve">Overall Churn Rate</w:t>
            </w:r>
          </w:p>
        </w:tc>
        <w:tc>
          <w:tcPr>
            <w:tcW w:type="dxa" w:w="3120"/>
            <w:tcBorders>
              <w:top w:val="none" w:color="FFFFFF" w:sz="0"/>
              <w:left w:val="none" w:color="FFFFFF" w:sz="0"/>
              <w:bottom w:val="none" w:color="FFFFFF" w:sz="0"/>
              <w:right w:val="none" w:color="FFFFFF" w:sz="0"/>
            </w:tcBorders>
            <w:shd w:fill="0D6E6E" w:val="clear"/>
            <w:tcMar>
              <w:top w:type="dxa" w:w="0"/>
              <w:left w:type="dxa" w:w="80"/>
              <w:bottom w:type="dxa" w:w="100"/>
              <w:right w:type="dxa" w:w="80"/>
            </w:tcMar>
          </w:tcPr>
          <w:p>
            <w:pPr>
              <w:jc w:val="center"/>
            </w:pPr>
            <w:r>
              <w:rPr>
                <w:rFonts w:ascii="Arial" w:cs="Arial" w:eastAsia="Arial" w:hAnsi="Arial"/>
                <w:color w:val="FFFFFF"/>
                <w:sz w:val="16"/>
                <w:szCs w:val="16"/>
              </w:rPr>
              <w:t xml:space="preserve">Active Members</w:t>
            </w:r>
          </w:p>
        </w:tc>
        <w:tc>
          <w:tcPr>
            <w:tcW w:type="dxa" w:w="3120"/>
            <w:tcBorders>
              <w:top w:val="none" w:color="FFFFFF" w:sz="0"/>
              <w:left w:val="none" w:color="FFFFFF" w:sz="0"/>
              <w:bottom w:val="none" w:color="FFFFFF" w:sz="0"/>
              <w:right w:val="none" w:color="FFFFFF" w:sz="0"/>
            </w:tcBorders>
            <w:shd w:fill="2E5FA3" w:val="clear"/>
            <w:tcMar>
              <w:top w:type="dxa" w:w="0"/>
              <w:left w:type="dxa" w:w="80"/>
              <w:bottom w:type="dxa" w:w="100"/>
              <w:right w:type="dxa" w:w="80"/>
            </w:tcMar>
          </w:tcPr>
          <w:p>
            <w:pPr>
              <w:jc w:val="center"/>
            </w:pPr>
            <w:r>
              <w:rPr>
                <w:rFonts w:ascii="Arial" w:cs="Arial" w:eastAsia="Arial" w:hAnsi="Arial"/>
                <w:color w:val="FFFFFF"/>
                <w:sz w:val="16"/>
                <w:szCs w:val="16"/>
              </w:rPr>
              <w:t xml:space="preserve">Avg Engagement</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8B4513" w:val="clear"/>
            <w:tcMar>
              <w:top w:type="dxa" w:w="100"/>
              <w:left w:type="dxa" w:w="120"/>
              <w:bottom w:type="dxa" w:w="60"/>
              <w:right w:type="dxa" w:w="120"/>
            </w:tcMar>
          </w:tcPr>
          <w:p>
            <w:pPr>
              <w:jc w:val="center"/>
            </w:pPr>
            <w:r>
              <w:rPr>
                <w:rFonts w:ascii="Arial" w:cs="Arial" w:eastAsia="Arial" w:hAnsi="Arial"/>
                <w:b/>
                <w:bCs/>
                <w:color w:val="FFFFFF"/>
                <w:sz w:val="44"/>
                <w:szCs w:val="44"/>
              </w:rPr>
              <w:t xml:space="preserve">1,247</w:t>
            </w:r>
          </w:p>
        </w:tc>
        <w:tc>
          <w:tcPr>
            <w:tcW w:type="dxa" w:w="3120"/>
            <w:tcBorders>
              <w:top w:val="none" w:color="FFFFFF" w:sz="0"/>
              <w:left w:val="none" w:color="FFFFFF" w:sz="0"/>
              <w:bottom w:val="none" w:color="FFFFFF" w:sz="0"/>
              <w:right w:val="none" w:color="FFFFFF" w:sz="0"/>
            </w:tcBorders>
            <w:shd w:fill="C85000" w:val="clear"/>
            <w:tcMar>
              <w:top w:type="dxa" w:w="100"/>
              <w:left w:type="dxa" w:w="120"/>
              <w:bottom w:type="dxa" w:w="60"/>
              <w:right w:type="dxa" w:w="120"/>
            </w:tcMar>
          </w:tcPr>
          <w:p>
            <w:pPr>
              <w:jc w:val="center"/>
            </w:pPr>
            <w:r>
              <w:rPr>
                <w:rFonts w:ascii="Arial" w:cs="Arial" w:eastAsia="Arial" w:hAnsi="Arial"/>
                <w:b/>
                <w:bCs/>
                <w:color w:val="FFFFFF"/>
                <w:sz w:val="44"/>
                <w:szCs w:val="44"/>
              </w:rPr>
              <w:t xml:space="preserve">371</w:t>
            </w:r>
          </w:p>
        </w:tc>
        <w:tc>
          <w:tcPr>
            <w:tcW w:type="dxa" w:w="3120"/>
            <w:tcBorders>
              <w:top w:val="none" w:color="FFFFFF" w:sz="0"/>
              <w:left w:val="none" w:color="FFFFFF" w:sz="0"/>
              <w:bottom w:val="none" w:color="FFFFFF" w:sz="0"/>
              <w:right w:val="none" w:color="FFFFFF" w:sz="0"/>
            </w:tcBorders>
            <w:shd w:fill="8B0000" w:val="clear"/>
            <w:tcMar>
              <w:top w:type="dxa" w:w="100"/>
              <w:left w:type="dxa" w:w="120"/>
              <w:bottom w:type="dxa" w:w="60"/>
              <w:right w:type="dxa" w:w="120"/>
            </w:tcMar>
          </w:tcPr>
          <w:p>
            <w:pPr>
              <w:jc w:val="center"/>
            </w:pPr>
            <w:r>
              <w:rPr>
                <w:rFonts w:ascii="Arial" w:cs="Arial" w:eastAsia="Arial" w:hAnsi="Arial"/>
                <w:b/>
                <w:bCs/>
                <w:color w:val="FFFFFF"/>
                <w:sz w:val="44"/>
                <w:szCs w:val="44"/>
              </w:rPr>
              <w:t xml:space="preserve">3,701</w:t>
            </w:r>
          </w:p>
        </w:tc>
      </w:tr>
      <w:tr>
        <w:tc>
          <w:tcPr>
            <w:tcW w:type="dxa" w:w="3120"/>
            <w:tcBorders>
              <w:top w:val="none" w:color="FFFFFF" w:sz="0"/>
              <w:left w:val="none" w:color="FFFFFF" w:sz="0"/>
              <w:bottom w:val="none" w:color="FFFFFF" w:sz="0"/>
              <w:right w:val="none" w:color="FFFFFF" w:sz="0"/>
            </w:tcBorders>
            <w:shd w:fill="8B4513" w:val="clear"/>
            <w:tcMar>
              <w:top w:type="dxa" w:w="0"/>
              <w:left w:type="dxa" w:w="80"/>
              <w:bottom w:type="dxa" w:w="100"/>
              <w:right w:type="dxa" w:w="80"/>
            </w:tcMar>
          </w:tcPr>
          <w:p>
            <w:pPr>
              <w:jc w:val="center"/>
            </w:pPr>
            <w:r>
              <w:rPr>
                <w:rFonts w:ascii="Arial" w:cs="Arial" w:eastAsia="Arial" w:hAnsi="Arial"/>
                <w:color w:val="FFFFFF"/>
                <w:sz w:val="16"/>
                <w:szCs w:val="16"/>
              </w:rPr>
              <w:t xml:space="preserve">High-Value Disengaged</w:t>
            </w:r>
          </w:p>
        </w:tc>
        <w:tc>
          <w:tcPr>
            <w:tcW w:type="dxa" w:w="3120"/>
            <w:tcBorders>
              <w:top w:val="none" w:color="FFFFFF" w:sz="0"/>
              <w:left w:val="none" w:color="FFFFFF" w:sz="0"/>
              <w:bottom w:val="none" w:color="FFFFFF" w:sz="0"/>
              <w:right w:val="none" w:color="FFFFFF" w:sz="0"/>
            </w:tcBorders>
            <w:shd w:fill="C85000" w:val="clear"/>
            <w:tcMar>
              <w:top w:type="dxa" w:w="0"/>
              <w:left w:type="dxa" w:w="80"/>
              <w:bottom w:type="dxa" w:w="100"/>
              <w:right w:type="dxa" w:w="80"/>
            </w:tcMar>
          </w:tcPr>
          <w:p>
            <w:pPr>
              <w:jc w:val="center"/>
            </w:pPr>
            <w:r>
              <w:rPr>
                <w:rFonts w:ascii="Arial" w:cs="Arial" w:eastAsia="Arial" w:hAnsi="Arial"/>
                <w:color w:val="FFFFFF"/>
                <w:sz w:val="16"/>
                <w:szCs w:val="16"/>
              </w:rPr>
              <w:t xml:space="preserve">Silent Premium Churners</w:t>
            </w:r>
          </w:p>
        </w:tc>
        <w:tc>
          <w:tcPr>
            <w:tcW w:type="dxa" w:w="3120"/>
            <w:tcBorders>
              <w:top w:val="none" w:color="FFFFFF" w:sz="0"/>
              <w:left w:val="none" w:color="FFFFFF" w:sz="0"/>
              <w:bottom w:val="none" w:color="FFFFFF" w:sz="0"/>
              <w:right w:val="none" w:color="FFFFFF" w:sz="0"/>
            </w:tcBorders>
            <w:shd w:fill="8B0000" w:val="clear"/>
            <w:tcMar>
              <w:top w:type="dxa" w:w="0"/>
              <w:left w:type="dxa" w:w="80"/>
              <w:bottom w:type="dxa" w:w="100"/>
              <w:right w:type="dxa" w:w="80"/>
            </w:tcMar>
          </w:tcPr>
          <w:p>
            <w:pPr>
              <w:jc w:val="center"/>
            </w:pPr>
            <w:r>
              <w:rPr>
                <w:rFonts w:ascii="Arial" w:cs="Arial" w:eastAsia="Arial" w:hAnsi="Arial"/>
                <w:color w:val="FFFFFF"/>
                <w:sz w:val="16"/>
                <w:szCs w:val="16"/>
              </w:rPr>
              <w:t xml:space="preserve">At-Risk Customers</w:t>
            </w:r>
          </w:p>
        </w:tc>
      </w:tr>
    </w:tbl>
    <w:p>
      <w:pPr>
        <w:spacing w:before="200" w:after="200"/>
      </w:pPr>
      <w:r>
        <w:t xml:space="preserve"/>
      </w:r>
    </w:p>
    <w:p>
      <w:r>
        <w:br w:type="page"/>
      </w:r>
    </w:p>
    <w:p>
      <w:pPr>
        <w:pStyle w:val="Heading1"/>
        <w:pBdr>
          <w:bottom w:val="single" w:color="1F3B73" w:sz="8" w:space="4"/>
        </w:pBdr>
        <w:spacing w:before="400" w:after="200"/>
      </w:pPr>
      <w:r>
        <w:rPr>
          <w:rFonts w:ascii="Arial" w:cs="Arial" w:eastAsia="Arial" w:hAnsi="Arial"/>
          <w:b/>
          <w:bCs/>
          <w:color w:val="1F3B73"/>
          <w:sz w:val="36"/>
          <w:szCs w:val="36"/>
        </w:rPr>
        <w:t xml:space="preserve">1. Executive Abstract</w:t>
      </w:r>
    </w:p>
    <w:p>
      <w:pPr>
        <w:spacing w:before="80" w:after="80"/>
        <w:jc w:val="both"/>
      </w:pPr>
      <w:r>
        <w:rPr>
          <w:rFonts w:ascii="Arial" w:cs="Arial" w:eastAsia="Arial" w:hAnsi="Arial"/>
          <w:color w:val="4A4A4A"/>
          <w:sz w:val="20"/>
          <w:szCs w:val="20"/>
        </w:rPr>
        <w:t xml:space="preserve">This research paper presents a comprehensive Exploratory Data Analysis (EDA) of 10,000 European banking customers sourced from The European Central Bank dataset (2025). The study examines how customer engagement behaviors, product utilization patterns, and financial commitment levels interact to predict customer churn — and how these insights can inform evidence-based retention strategies.</w:t>
      </w:r>
    </w:p>
    <w:p>
      <w:pPr>
        <w:spacing w:before="80" w:after="80"/>
      </w:pPr>
      <w:r>
        <w:t xml:space="preserve"/>
      </w:r>
    </w:p>
    <w:p>
      <w:pPr>
        <w:spacing w:before="80" w:after="80"/>
        <w:jc w:val="both"/>
      </w:pPr>
      <w:r>
        <w:rPr>
          <w:rFonts w:ascii="Arial" w:cs="Arial" w:eastAsia="Arial" w:hAnsi="Arial"/>
          <w:color w:val="4A4A4A"/>
          <w:sz w:val="20"/>
          <w:szCs w:val="20"/>
        </w:rPr>
        <w:t xml:space="preserve">The overall churn rate of 20.4% masks significant variation across engagement tiers, geographies, age groups, and product portfolios. This analysis identifies three critical risk populations that demand immediate strategic intervention: Low-Engagement Customers (30.95% churn rate), High-Value Disengaged customers (1,247 individuals with top-quartile balances but zero active engagement), and Silent Premium Churners (371 high-salary customers who exited using only a single product).</w:t>
      </w:r>
    </w:p>
    <w:p>
      <w:pPr>
        <w:spacing w:before="80" w:after="80"/>
      </w:pPr>
      <w:r>
        <w:t xml:space="preserve"/>
      </w:r>
    </w:p>
    <w:p>
      <w:pPr>
        <w:spacing w:before="80" w:after="80"/>
        <w:jc w:val="both"/>
      </w:pPr>
      <w:r>
        <w:rPr>
          <w:rFonts w:ascii="Arial" w:cs="Arial" w:eastAsia="Arial" w:hAnsi="Arial"/>
          <w:color w:val="4A4A4A"/>
          <w:sz w:val="20"/>
          <w:szCs w:val="20"/>
        </w:rPr>
        <w:t xml:space="preserve">The research is structured around five analytical pillars: (1) Data Ingestion and Validation, (2) Engagement Classification, (3) Product Utilization Analysis, (4) Financial Commitment and Engagement Correlation, and (5) Retention Strength Assessment. Each pillar culminates in actionable recommendations calibrated to specific customer segments.</w:t>
      </w:r>
    </w:p>
    <w:p>
      <w:pPr>
        <w:spacing w:before="200" w:after="200"/>
      </w:pPr>
      <w:r>
        <w:t xml:space="preserve"/>
      </w:r>
    </w:p>
    <w:p>
      <w:pPr>
        <w:pStyle w:val="Heading1"/>
        <w:pBdr>
          <w:bottom w:val="single" w:color="1F3B73" w:sz="8" w:space="4"/>
        </w:pBdr>
        <w:spacing w:before="400" w:after="200"/>
      </w:pPr>
      <w:r>
        <w:rPr>
          <w:rFonts w:ascii="Arial" w:cs="Arial" w:eastAsia="Arial" w:hAnsi="Arial"/>
          <w:b/>
          <w:bCs/>
          <w:color w:val="1F3B73"/>
          <w:sz w:val="36"/>
          <w:szCs w:val="36"/>
        </w:rPr>
        <w:t xml:space="preserve">2. Background &amp; Context</w:t>
      </w:r>
    </w:p>
    <w:p>
      <w:pPr>
        <w:spacing w:before="80" w:after="80"/>
        <w:jc w:val="both"/>
      </w:pPr>
      <w:r>
        <w:rPr>
          <w:rFonts w:ascii="Arial" w:cs="Arial" w:eastAsia="Arial" w:hAnsi="Arial"/>
          <w:color w:val="4A4A4A"/>
          <w:sz w:val="20"/>
          <w:szCs w:val="20"/>
        </w:rPr>
        <w:t xml:space="preserve">European retail banks face an increasingly competitive landscape where customer retention has become as strategically critical as acquisition. Banks routinely experience that customers with high account balances — seemingly profitable relationships — can churn silently, often because engagement and product depth are insufficient to create genuine switching costs or emotional loyalty.</w:t>
      </w:r>
    </w:p>
    <w:p>
      <w:pPr>
        <w:spacing w:before="80" w:after="80"/>
      </w:pPr>
      <w:r>
        <w:t xml:space="preserve"/>
      </w:r>
    </w:p>
    <w:p>
      <w:pPr>
        <w:spacing w:before="80" w:after="80"/>
        <w:jc w:val="both"/>
      </w:pPr>
      <w:r>
        <w:rPr>
          <w:rFonts w:ascii="Arial" w:cs="Arial" w:eastAsia="Arial" w:hAnsi="Arial"/>
          <w:color w:val="4A4A4A"/>
          <w:sz w:val="20"/>
          <w:szCs w:val="20"/>
        </w:rPr>
        <w:t xml:space="preserve">The problem is compounded by a measurement gap: traditional retention metrics focus on tenure or balance alone, failing to capture the behavioral depth of the customer relationship. A customer may hold a large balance while being entirely disengaged from digital banking, cross-product utilization, and value-added services — making them highly vulnerable to competitor offers.</w:t>
      </w:r>
    </w:p>
    <w:p>
      <w:pPr>
        <w:spacing w:before="80" w:after="80"/>
      </w:pPr>
      <w:r>
        <w:t xml:space="preserve"/>
      </w:r>
    </w:p>
    <w:p>
      <w:pPr>
        <w:spacing w:before="80" w:after="80"/>
        <w:jc w:val="both"/>
      </w:pPr>
      <w:r>
        <w:rPr>
          <w:rFonts w:ascii="Arial" w:cs="Arial" w:eastAsia="Arial" w:hAnsi="Arial"/>
          <w:b/>
          <w:bCs/>
          <w:color w:val="4A4A4A"/>
          <w:sz w:val="20"/>
          <w:szCs w:val="20"/>
        </w:rPr>
        <w:t xml:space="preserve">Three core challenges </w:t>
      </w:r>
      <w:r>
        <w:rPr>
          <w:rFonts w:ascii="Arial" w:cs="Arial" w:eastAsia="Arial" w:hAnsi="Arial"/>
          <w:color w:val="4A4A4A"/>
          <w:sz w:val="20"/>
          <w:szCs w:val="20"/>
        </w:rPr>
        <w:t xml:space="preserve">motivated this research:</w:t>
      </w:r>
    </w:p>
    <w:p>
      <w:pPr>
        <w:pStyle w:val="ListParagraph"/>
        <w:numPr>
          <w:ilvl w:val="0"/>
          <w:numId w:val="2"/>
        </w:numPr>
        <w:spacing w:before="60" w:after="60"/>
      </w:pPr>
      <w:r>
        <w:rPr>
          <w:rFonts w:ascii="Arial" w:cs="Arial" w:eastAsia="Arial" w:hAnsi="Arial"/>
          <w:color w:val="4A4A4A"/>
          <w:sz w:val="20"/>
          <w:szCs w:val="20"/>
        </w:rPr>
        <w:t xml:space="preserve">Low product engagement and single-product relationships creating shallow loyalty</w:t>
      </w:r>
    </w:p>
    <w:p>
      <w:pPr>
        <w:pStyle w:val="ListParagraph"/>
        <w:numPr>
          <w:ilvl w:val="0"/>
          <w:numId w:val="2"/>
        </w:numPr>
        <w:spacing w:before="60" w:after="60"/>
      </w:pPr>
      <w:r>
        <w:rPr>
          <w:rFonts w:ascii="Arial" w:cs="Arial" w:eastAsia="Arial" w:hAnsi="Arial"/>
          <w:color w:val="4A4A4A"/>
          <w:sz w:val="20"/>
          <w:szCs w:val="20"/>
        </w:rPr>
        <w:t xml:space="preserve">Weak relationship depth masked by high account balances</w:t>
      </w:r>
    </w:p>
    <w:p>
      <w:pPr>
        <w:pStyle w:val="ListParagraph"/>
        <w:numPr>
          <w:ilvl w:val="0"/>
          <w:numId w:val="2"/>
        </w:numPr>
        <w:spacing w:before="60" w:after="60"/>
      </w:pPr>
      <w:r>
        <w:rPr>
          <w:rFonts w:ascii="Arial" w:cs="Arial" w:eastAsia="Arial" w:hAnsi="Arial"/>
          <w:color w:val="4A4A4A"/>
          <w:sz w:val="20"/>
          <w:szCs w:val="20"/>
        </w:rPr>
        <w:t xml:space="preserve">Absence of behavioral segmentation in current retention strategies</w:t>
      </w:r>
    </w:p>
    <w:p>
      <w:pPr>
        <w:spacing w:before="200" w:after="200"/>
      </w:pPr>
      <w:r>
        <w:t xml:space="preserve"/>
      </w:r>
    </w:p>
    <w:p>
      <w:pPr>
        <w:pStyle w:val="Heading1"/>
        <w:pBdr>
          <w:bottom w:val="single" w:color="1F3B73" w:sz="8" w:space="4"/>
        </w:pBdr>
        <w:spacing w:before="400" w:after="200"/>
      </w:pPr>
      <w:r>
        <w:rPr>
          <w:rFonts w:ascii="Arial" w:cs="Arial" w:eastAsia="Arial" w:hAnsi="Arial"/>
          <w:b/>
          <w:bCs/>
          <w:color w:val="1F3B73"/>
          <w:sz w:val="36"/>
          <w:szCs w:val="36"/>
        </w:rPr>
        <w:t xml:space="preserve">3. Dataset Description &amp; Validation</w:t>
      </w:r>
    </w:p>
    <w:p>
      <w:pPr>
        <w:pStyle w:val="Heading2"/>
        <w:spacing w:before="300" w:after="120"/>
      </w:pPr>
      <w:r>
        <w:rPr>
          <w:rFonts w:ascii="Arial" w:cs="Arial" w:eastAsia="Arial" w:hAnsi="Arial"/>
          <w:b/>
          <w:bCs/>
          <w:color w:val="2E5FA3"/>
          <w:sz w:val="26"/>
          <w:szCs w:val="26"/>
        </w:rPr>
        <w:t xml:space="preserve">3.1 Dataset Overview</w:t>
      </w:r>
    </w:p>
    <w:p>
      <w:pPr>
        <w:spacing w:before="80" w:after="80"/>
        <w:jc w:val="both"/>
      </w:pPr>
      <w:r>
        <w:rPr>
          <w:rFonts w:ascii="Arial" w:cs="Arial" w:eastAsia="Arial" w:hAnsi="Arial"/>
          <w:color w:val="4A4A4A"/>
          <w:sz w:val="20"/>
          <w:szCs w:val="20"/>
        </w:rPr>
        <w:t xml:space="preserve">The dataset comprises 10,000 customer records from The European Central Bank, spanning customers across three geographies: France (5,014 customers, 50.1%), Germany (2,509 customers, 25.1%), and Spain (2,477 customers, 24.8%). All records are dated 2025, providing a clean single-period snapshot for cross-sectional analysis.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F3B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Column</w:t>
            </w:r>
          </w:p>
        </w:tc>
        <w:tc>
          <w:tcPr>
            <w:tcW w:type="dxa" w:w="1600"/>
            <w:tcBorders>
              <w:top w:val="single" w:color="CCCCCC" w:sz="1"/>
              <w:left w:val="single" w:color="CCCCCC" w:sz="1"/>
              <w:bottom w:val="single" w:color="CCCCCC" w:sz="1"/>
              <w:right w:val="single" w:color="CCCCCC" w:sz="1"/>
            </w:tcBorders>
            <w:shd w:fill="1F3B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5560"/>
            <w:tcBorders>
              <w:top w:val="single" w:color="CCCCCC" w:sz="1"/>
              <w:left w:val="single" w:color="CCCCCC" w:sz="1"/>
              <w:bottom w:val="single" w:color="CCCCCC" w:sz="1"/>
              <w:right w:val="single" w:color="CCCCCC" w:sz="1"/>
            </w:tcBorders>
            <w:shd w:fill="1F3B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CustomerId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Integer</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Unique customer identifier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Surname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Customer surname (anonymized for analysis)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CreditScore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Integer</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Creditworthiness score (range: 350–850)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Geography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Country: France, Spain, or Germany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Gender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String</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Male / Female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Customer age in years (range: 18–92)</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Tenure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Integer</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Years with the bank (range: 0–10)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Balance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Float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Account balance in Euros (range: 0–250,898)</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NumOfProducts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Integer</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Number of bank products held (range: 1–4)</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HasCrCard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Binary</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Credit card ownership indicator (1 = Yes)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IsActiveMember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Binary</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Active member status (1 = Active)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EstimatedSalary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Float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Annual salary estimate in Euros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Exited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Binary</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TARGET: Churn indicator (1 = Churned)</w:t>
            </w:r>
          </w:p>
        </w:tc>
      </w:tr>
    </w:tbl>
    <w:p>
      <w:pPr>
        <w:spacing w:before="160" w:after="160"/>
      </w:pPr>
      <w:r>
        <w:t xml:space="preserve"/>
      </w:r>
    </w:p>
    <w:p>
      <w:pPr>
        <w:pStyle w:val="Heading2"/>
        <w:spacing w:before="300" w:after="120"/>
      </w:pPr>
      <w:r>
        <w:rPr>
          <w:rFonts w:ascii="Arial" w:cs="Arial" w:eastAsia="Arial" w:hAnsi="Arial"/>
          <w:b/>
          <w:bCs/>
          <w:color w:val="2E5FA3"/>
          <w:sz w:val="26"/>
          <w:szCs w:val="26"/>
        </w:rPr>
        <w:t xml:space="preserve">3.2 Data Quality Assessment</w:t>
      </w:r>
    </w:p>
    <w:p>
      <w:pPr>
        <w:spacing w:before="80" w:after="80"/>
        <w:jc w:val="both"/>
      </w:pPr>
      <w:r>
        <w:rPr>
          <w:rFonts w:ascii="Arial" w:cs="Arial" w:eastAsia="Arial" w:hAnsi="Arial"/>
          <w:color w:val="4A4A4A"/>
          <w:sz w:val="20"/>
          <w:szCs w:val="20"/>
        </w:rPr>
        <w:t xml:space="preserve">A full data quality audit confirmed no missing values across all 14 columns for all 10,000 records. No duplicate customer IDs were detected. Data types were consistent and no anomalous outliers requiring removal were found. The dataset is production-ready without imputation or cleaning.</w:t>
      </w:r>
    </w:p>
    <w:p>
      <w:pPr>
        <w:spacing w:before="80" w:after="80"/>
      </w:pPr>
      <w:r>
        <w:t xml:space="preserve"/>
      </w:r>
    </w:p>
    <w:p>
      <w:pPr>
        <w:spacing w:before="80" w:after="80"/>
        <w:jc w:val="both"/>
      </w:pPr>
      <w:r>
        <w:rPr>
          <w:rFonts w:ascii="Arial" w:cs="Arial" w:eastAsia="Arial" w:hAnsi="Arial"/>
          <w:b/>
          <w:bCs/>
          <w:color w:val="4A4A4A"/>
          <w:sz w:val="20"/>
          <w:szCs w:val="20"/>
        </w:rPr>
        <w:t xml:space="preserve">Notable structural observation: </w:t>
      </w:r>
      <w:r>
        <w:rPr>
          <w:rFonts w:ascii="Arial" w:cs="Arial" w:eastAsia="Arial" w:hAnsi="Arial"/>
          <w:color w:val="4A4A4A"/>
          <w:sz w:val="20"/>
          <w:szCs w:val="20"/>
        </w:rPr>
        <w:t xml:space="preserve">36.2% of customers (3,617 individuals) hold zero account balance. This is not a data error but a behavioral segment — customers maintaining only transactional or credit card relationships. Their churn rate (13.8%) is notably lower than high-balance customers who churn (82.7% for 3-product holders), suggesting balance alone is an insufficient retention predictor.</w:t>
      </w:r>
    </w:p>
    <w:p>
      <w:pPr>
        <w:spacing w:before="200" w:after="200"/>
      </w:pPr>
      <w:r>
        <w:t xml:space="preserve"/>
      </w:r>
    </w:p>
    <w:p>
      <w:r>
        <w:br w:type="page"/>
      </w:r>
    </w:p>
    <w:p>
      <w:pPr>
        <w:pStyle w:val="Heading1"/>
        <w:pBdr>
          <w:bottom w:val="single" w:color="1F3B73" w:sz="8" w:space="4"/>
        </w:pBdr>
        <w:spacing w:before="400" w:after="200"/>
      </w:pPr>
      <w:r>
        <w:rPr>
          <w:rFonts w:ascii="Arial" w:cs="Arial" w:eastAsia="Arial" w:hAnsi="Arial"/>
          <w:b/>
          <w:bCs/>
          <w:color w:val="1F3B73"/>
          <w:sz w:val="36"/>
          <w:szCs w:val="36"/>
        </w:rPr>
        <w:t xml:space="preserve">4. Analytical Methodology</w:t>
      </w:r>
    </w:p>
    <w:p>
      <w:pPr>
        <w:pStyle w:val="Heading2"/>
        <w:spacing w:before="300" w:after="120"/>
      </w:pPr>
      <w:r>
        <w:rPr>
          <w:rFonts w:ascii="Arial" w:cs="Arial" w:eastAsia="Arial" w:hAnsi="Arial"/>
          <w:b/>
          <w:bCs/>
          <w:color w:val="2E5FA3"/>
          <w:sz w:val="26"/>
          <w:szCs w:val="26"/>
        </w:rPr>
        <w:t xml:space="preserve">4.1 Engagement Scoring Framework</w:t>
      </w:r>
    </w:p>
    <w:p>
      <w:pPr>
        <w:spacing w:before="80" w:after="80"/>
        <w:jc w:val="both"/>
      </w:pPr>
      <w:r>
        <w:rPr>
          <w:rFonts w:ascii="Arial" w:cs="Arial" w:eastAsia="Arial" w:hAnsi="Arial"/>
          <w:color w:val="4A4A4A"/>
          <w:sz w:val="20"/>
          <w:szCs w:val="20"/>
        </w:rPr>
        <w:t xml:space="preserve">A composite Engagement Score (range 0–9) was developed to quantify behavioral depth of each customer relationship. The scoring model weights active membership most heavily, as it directly reflects voluntary engagement with the bank's services: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4260"/>
      </w:tblGrid>
      <w:tr>
        <w:tc>
          <w:tcPr>
            <w:tcW w:type="dxa" w:w="35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Factor</w:t>
            </w:r>
          </w:p>
        </w:tc>
        <w:tc>
          <w:tcPr>
            <w:tcW w:type="dxa" w:w="16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Weight</w:t>
            </w:r>
          </w:p>
        </w:tc>
        <w:tc>
          <w:tcPr>
            <w:tcW w:type="dxa" w:w="426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Rationale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Active Member Status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2E5FA3"/>
                <w:sz w:val="18"/>
                <w:szCs w:val="18"/>
              </w:rPr>
              <w:t xml:space="preserve">× 3 points (max 3)</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Strongest behavioral signal of ongoing engagement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Number of Products Used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E5FA3"/>
                <w:sz w:val="18"/>
                <w:szCs w:val="18"/>
              </w:rPr>
              <w:t xml:space="preserve">× 1 pt each (max 3)</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Measures product breadth and switching cost</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Credit Card Ownership</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2E5FA3"/>
                <w:sz w:val="18"/>
                <w:szCs w:val="18"/>
              </w:rPr>
              <w:t xml:space="preserve">+1 point</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Indicates additional product relationship</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Tenure with Bank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2E5FA3"/>
                <w:sz w:val="18"/>
                <w:szCs w:val="18"/>
              </w:rPr>
              <w:t xml:space="preserve">÷ 2 years (max 2 pts)</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Longevity weighted lower than active behavior</w:t>
            </w:r>
          </w:p>
        </w:tc>
      </w:tr>
    </w:tbl>
    <w:p>
      <w:pPr>
        <w:spacing w:before="120" w:after="120"/>
      </w:pPr>
      <w:r>
        <w:t xml:space="preserve"/>
      </w:r>
    </w:p>
    <w:p>
      <w:pPr>
        <w:spacing w:before="80" w:after="80"/>
        <w:jc w:val="both"/>
      </w:pPr>
      <w:r>
        <w:rPr>
          <w:rFonts w:ascii="Arial" w:cs="Arial" w:eastAsia="Arial" w:hAnsi="Arial"/>
          <w:color w:val="4A4A4A"/>
          <w:sz w:val="20"/>
          <w:szCs w:val="20"/>
        </w:rPr>
        <w:t xml:space="preserve">Customers are then classified into three tiers: Low Engagement (Score 0–3), Medium Engagement (Score 4–6), and High Engagement (Score 7–9).</w:t>
      </w:r>
    </w:p>
    <w:p>
      <w:pPr>
        <w:spacing w:before="160" w:after="160"/>
      </w:pPr>
      <w:r>
        <w:t xml:space="preserve"/>
      </w:r>
    </w:p>
    <w:p>
      <w:pPr>
        <w:pStyle w:val="Heading2"/>
        <w:spacing w:before="300" w:after="120"/>
      </w:pPr>
      <w:r>
        <w:rPr>
          <w:rFonts w:ascii="Arial" w:cs="Arial" w:eastAsia="Arial" w:hAnsi="Arial"/>
          <w:b/>
          <w:bCs/>
          <w:color w:val="2E5FA3"/>
          <w:sz w:val="26"/>
          <w:szCs w:val="26"/>
        </w:rPr>
        <w:t xml:space="preserve">4.2 Retention Strength Index</w:t>
      </w:r>
    </w:p>
    <w:p>
      <w:pPr>
        <w:spacing w:before="80" w:after="80"/>
        <w:jc w:val="both"/>
      </w:pPr>
      <w:r>
        <w:rPr>
          <w:rFonts w:ascii="Arial" w:cs="Arial" w:eastAsia="Arial" w:hAnsi="Arial"/>
          <w:color w:val="4A4A4A"/>
          <w:sz w:val="20"/>
          <w:szCs w:val="20"/>
        </w:rPr>
        <w:t xml:space="preserve">A Retention Strength Index was calculated as a weighted composite: (Engagement Score × 0.4) + (Product Index × 0.6). Product Index was defined as NumOfProducts + (HasCrCard × 0.5). This index classifies customers into four retention tiers: At Risk (0–3), Moderate (3–5), Stable (5–7), and Loyal (7+).</w:t>
      </w:r>
    </w:p>
    <w:p>
      <w:pPr>
        <w:spacing w:before="160" w:after="160"/>
      </w:pPr>
      <w:r>
        <w:t xml:space="preserve"/>
      </w:r>
    </w:p>
    <w:p>
      <w:pPr>
        <w:pStyle w:val="Heading2"/>
        <w:spacing w:before="300" w:after="120"/>
      </w:pPr>
      <w:r>
        <w:rPr>
          <w:rFonts w:ascii="Arial" w:cs="Arial" w:eastAsia="Arial" w:hAnsi="Arial"/>
          <w:b/>
          <w:bCs/>
          <w:color w:val="2E5FA3"/>
          <w:sz w:val="26"/>
          <w:szCs w:val="26"/>
        </w:rPr>
        <w:t xml:space="preserve">4.3 Risk Segment Identification</w:t>
      </w:r>
    </w:p>
    <w:p>
      <w:pPr>
        <w:spacing w:before="80" w:after="80"/>
        <w:jc w:val="both"/>
      </w:pPr>
      <w:r>
        <w:rPr>
          <w:rFonts w:ascii="Arial" w:cs="Arial" w:eastAsia="Arial" w:hAnsi="Arial"/>
          <w:b/>
          <w:bCs/>
          <w:color w:val="4A4A4A"/>
          <w:sz w:val="20"/>
          <w:szCs w:val="20"/>
        </w:rPr>
        <w:t xml:space="preserve">High-Value Disengaged (HVD): </w:t>
      </w:r>
      <w:r>
        <w:rPr>
          <w:rFonts w:ascii="Arial" w:cs="Arial" w:eastAsia="Arial" w:hAnsi="Arial"/>
          <w:color w:val="4A4A4A"/>
          <w:sz w:val="20"/>
          <w:szCs w:val="20"/>
        </w:rPr>
        <w:t xml:space="preserve">Customers whose Account Balance falls in the top 25th percentile (above €127,644) AND whose IsActiveMember = 0. These customers represent hidden churn risk — high financial value with zero behavioral loyalty.</w:t>
      </w:r>
    </w:p>
    <w:p>
      <w:pPr>
        <w:spacing w:before="80" w:after="80"/>
      </w:pPr>
      <w:r>
        <w:t xml:space="preserve"/>
      </w:r>
    </w:p>
    <w:p>
      <w:pPr>
        <w:spacing w:before="80" w:after="80"/>
        <w:jc w:val="both"/>
      </w:pPr>
      <w:r>
        <w:rPr>
          <w:rFonts w:ascii="Arial" w:cs="Arial" w:eastAsia="Arial" w:hAnsi="Arial"/>
          <w:b/>
          <w:bCs/>
          <w:color w:val="4A4A4A"/>
          <w:sz w:val="20"/>
          <w:szCs w:val="20"/>
        </w:rPr>
        <w:t xml:space="preserve">Silent Premium Churners (SPC): </w:t>
      </w:r>
      <w:r>
        <w:rPr>
          <w:rFonts w:ascii="Arial" w:cs="Arial" w:eastAsia="Arial" w:hAnsi="Arial"/>
          <w:color w:val="4A4A4A"/>
          <w:sz w:val="20"/>
          <w:szCs w:val="20"/>
        </w:rPr>
        <w:t xml:space="preserve">Customers with Estimated Salary in the top 25th percentile (above €149,388), NumOfProducts of 1 or fewer, AND Exited = 1. These represent highest-opportunity missed conversions — premium income customers who left because the bank failed to deepen the relationship.</w:t>
      </w:r>
    </w:p>
    <w:p>
      <w:pPr>
        <w:spacing w:before="200" w:after="200"/>
      </w:pPr>
      <w:r>
        <w:t xml:space="preserve"/>
      </w:r>
    </w:p>
    <w:p>
      <w:r>
        <w:br w:type="page"/>
      </w:r>
    </w:p>
    <w:p>
      <w:pPr>
        <w:pStyle w:val="Heading1"/>
        <w:pBdr>
          <w:bottom w:val="single" w:color="1F3B73" w:sz="8" w:space="4"/>
        </w:pBdr>
        <w:spacing w:before="400" w:after="200"/>
      </w:pPr>
      <w:r>
        <w:rPr>
          <w:rFonts w:ascii="Arial" w:cs="Arial" w:eastAsia="Arial" w:hAnsi="Arial"/>
          <w:b/>
          <w:bCs/>
          <w:color w:val="1F3B73"/>
          <w:sz w:val="36"/>
          <w:szCs w:val="36"/>
        </w:rPr>
        <w:t xml:space="preserve">5. Exploratory Data Analysis — Key Findings</w:t>
      </w:r>
    </w:p>
    <w:p>
      <w:pPr>
        <w:pStyle w:val="Heading2"/>
        <w:spacing w:before="300" w:after="120"/>
      </w:pPr>
      <w:r>
        <w:rPr>
          <w:rFonts w:ascii="Arial" w:cs="Arial" w:eastAsia="Arial" w:hAnsi="Arial"/>
          <w:b/>
          <w:bCs/>
          <w:color w:val="2E5FA3"/>
          <w:sz w:val="26"/>
          <w:szCs w:val="26"/>
        </w:rPr>
        <w:t xml:space="preserve">5.1 Churn Rate by Engagement Tier</w:t>
      </w:r>
    </w:p>
    <w:p>
      <w:pPr>
        <w:spacing w:before="80" w:after="80"/>
        <w:jc w:val="both"/>
      </w:pPr>
      <w:r>
        <w:rPr>
          <w:rFonts w:ascii="Arial" w:cs="Arial" w:eastAsia="Arial" w:hAnsi="Arial"/>
          <w:color w:val="4A4A4A"/>
          <w:sz w:val="20"/>
          <w:szCs w:val="20"/>
        </w:rPr>
        <w:t xml:space="preserve">The most powerful finding in the dataset is the inverse relationship between engagement depth and churn. Customers in the Low Engagement tier churn at 30.95% — more than two and a half times the rate of High Engagement customers (12.27%). This confirms the central hypothesis: engagement, not balance, is the primary predictor of retention.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B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Engagement Tier</w:t>
            </w:r>
          </w:p>
        </w:tc>
        <w:tc>
          <w:tcPr>
            <w:tcW w:type="dxa" w:w="2340"/>
            <w:tcBorders>
              <w:top w:val="single" w:color="CCCCCC" w:sz="1"/>
              <w:left w:val="single" w:color="CCCCCC" w:sz="1"/>
              <w:bottom w:val="single" w:color="CCCCCC" w:sz="1"/>
              <w:right w:val="single" w:color="CCCCCC" w:sz="1"/>
            </w:tcBorders>
            <w:shd w:fill="1F3B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Customer Count</w:t>
            </w:r>
          </w:p>
        </w:tc>
        <w:tc>
          <w:tcPr>
            <w:tcW w:type="dxa" w:w="2340"/>
            <w:tcBorders>
              <w:top w:val="single" w:color="CCCCCC" w:sz="1"/>
              <w:left w:val="single" w:color="CCCCCC" w:sz="1"/>
              <w:bottom w:val="single" w:color="CCCCCC" w:sz="1"/>
              <w:right w:val="single" w:color="CCCCCC" w:sz="1"/>
            </w:tcBorders>
            <w:shd w:fill="1F3B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of Portfolio</w:t>
            </w:r>
          </w:p>
        </w:tc>
        <w:tc>
          <w:tcPr>
            <w:tcW w:type="dxa" w:w="2340"/>
            <w:tcBorders>
              <w:top w:val="single" w:color="CCCCCC" w:sz="1"/>
              <w:left w:val="single" w:color="CCCCCC" w:sz="1"/>
              <w:bottom w:val="single" w:color="CCCCCC" w:sz="1"/>
              <w:right w:val="single" w:color="CCCCCC" w:sz="1"/>
            </w:tcBorders>
            <w:shd w:fill="1F3B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Churn Rate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C0392B"/>
                <w:sz w:val="18"/>
                <w:szCs w:val="18"/>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1,564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15.6%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30.95%</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C85000"/>
                <w:sz w:val="18"/>
                <w:szCs w:val="18"/>
              </w:rP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6,847</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68.5%</w:t>
            </w:r>
          </w:p>
        </w:tc>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22.01%</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1E8449"/>
                <w:sz w:val="18"/>
                <w:szCs w:val="18"/>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1,589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15.9%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1E8449"/>
                <w:sz w:val="18"/>
                <w:szCs w:val="18"/>
              </w:rPr>
              <w:t xml:space="preserve">12.27%</w:t>
            </w:r>
          </w:p>
        </w:tc>
      </w:tr>
    </w:tbl>
    <w:p>
      <w:pPr>
        <w:spacing w:before="160" w:after="160"/>
      </w:pPr>
      <w:r>
        <w:t xml:space="preserve"/>
      </w:r>
    </w:p>
    <w:p>
      <w:pPr>
        <w:pStyle w:val="Heading2"/>
        <w:spacing w:before="300" w:after="120"/>
      </w:pPr>
      <w:r>
        <w:rPr>
          <w:rFonts w:ascii="Arial" w:cs="Arial" w:eastAsia="Arial" w:hAnsi="Arial"/>
          <w:b/>
          <w:bCs/>
          <w:color w:val="2E5FA3"/>
          <w:sz w:val="26"/>
          <w:szCs w:val="26"/>
        </w:rPr>
        <w:t xml:space="preserve">5.2 Product Count &amp; Churn — Non-Linear Relationship</w:t>
      </w:r>
    </w:p>
    <w:p>
      <w:pPr>
        <w:spacing w:before="80" w:after="80"/>
        <w:jc w:val="both"/>
      </w:pPr>
      <w:r>
        <w:rPr>
          <w:rFonts w:ascii="Arial" w:cs="Arial" w:eastAsia="Arial" w:hAnsi="Arial"/>
          <w:color w:val="4A4A4A"/>
          <w:sz w:val="20"/>
          <w:szCs w:val="20"/>
        </w:rPr>
        <w:t xml:space="preserve">The relationship between product count and churn is non-linear and reveals a critical risk pattern. Customers with 2 products have the lowest churn rate (7.58%), making them the most stable segment. However, customers with 3 or more products show dramatically elevated churn — 82.71% for 3-product holders and 100% for 4-product holders. This counterintuitive finding suggests that high product counts without genuine engagement may indicate customers who are over-sold, feel trapped, or have complex unresolved needs.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B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Products</w:t>
            </w:r>
          </w:p>
        </w:tc>
        <w:tc>
          <w:tcPr>
            <w:tcW w:type="dxa" w:w="1872"/>
            <w:tcBorders>
              <w:top w:val="single" w:color="CCCCCC" w:sz="1"/>
              <w:left w:val="single" w:color="CCCCCC" w:sz="1"/>
              <w:bottom w:val="single" w:color="CCCCCC" w:sz="1"/>
              <w:right w:val="single" w:color="CCCCCC" w:sz="1"/>
            </w:tcBorders>
            <w:shd w:fill="1F3B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Count</w:t>
            </w:r>
          </w:p>
        </w:tc>
        <w:tc>
          <w:tcPr>
            <w:tcW w:type="dxa" w:w="1872"/>
            <w:tcBorders>
              <w:top w:val="single" w:color="CCCCCC" w:sz="1"/>
              <w:left w:val="single" w:color="CCCCCC" w:sz="1"/>
              <w:bottom w:val="single" w:color="CCCCCC" w:sz="1"/>
              <w:right w:val="single" w:color="CCCCCC" w:sz="1"/>
            </w:tcBorders>
            <w:shd w:fill="1F3B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of Total</w:t>
            </w:r>
          </w:p>
        </w:tc>
        <w:tc>
          <w:tcPr>
            <w:tcW w:type="dxa" w:w="1872"/>
            <w:tcBorders>
              <w:top w:val="single" w:color="CCCCCC" w:sz="1"/>
              <w:left w:val="single" w:color="CCCCCC" w:sz="1"/>
              <w:bottom w:val="single" w:color="CCCCCC" w:sz="1"/>
              <w:right w:val="single" w:color="CCCCCC" w:sz="1"/>
            </w:tcBorders>
            <w:shd w:fill="1F3B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Churn Rate</w:t>
            </w:r>
          </w:p>
        </w:tc>
        <w:tc>
          <w:tcPr>
            <w:tcW w:type="dxa" w:w="1872"/>
            <w:tcBorders>
              <w:top w:val="single" w:color="CCCCCC" w:sz="1"/>
              <w:left w:val="single" w:color="CCCCCC" w:sz="1"/>
              <w:bottom w:val="single" w:color="CCCCCC" w:sz="1"/>
              <w:right w:val="single" w:color="CCCCCC" w:sz="1"/>
            </w:tcBorders>
            <w:shd w:fill="1F3B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 Level</w:t>
            </w:r>
          </w:p>
        </w:tc>
      </w:tr>
      <w:tr>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5,084</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50.8%</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85000"/>
                <w:sz w:val="18"/>
                <w:szCs w:val="18"/>
              </w:rPr>
              <w:t xml:space="preserve">27.71%</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85000"/>
                <w:sz w:val="18"/>
                <w:szCs w:val="18"/>
              </w:rPr>
              <w:t xml:space="preserve">MEDIUM</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4,590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45.9%</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1E8449"/>
                <w:sz w:val="18"/>
                <w:szCs w:val="18"/>
              </w:rPr>
              <w:t xml:space="preserve">7.58%</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1E8449"/>
                <w:sz w:val="18"/>
                <w:szCs w:val="18"/>
              </w:rPr>
              <w:t xml:space="preserve">LOW</w:t>
            </w:r>
          </w:p>
        </w:tc>
      </w:tr>
      <w:tr>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3</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266</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2.7%</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82.71%</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CRITICAL</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60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0.6%</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100.00%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CRITICAL</w:t>
            </w:r>
          </w:p>
        </w:tc>
      </w:tr>
    </w:tbl>
    <w:p>
      <w:pPr>
        <w:spacing w:before="160" w:after="160"/>
      </w:pPr>
      <w:r>
        <w:t xml:space="preserve"/>
      </w:r>
    </w:p>
    <w:p>
      <w:pPr>
        <w:pStyle w:val="Heading2"/>
        <w:spacing w:before="300" w:after="120"/>
      </w:pPr>
      <w:r>
        <w:rPr>
          <w:rFonts w:ascii="Arial" w:cs="Arial" w:eastAsia="Arial" w:hAnsi="Arial"/>
          <w:b/>
          <w:bCs/>
          <w:color w:val="2E5FA3"/>
          <w:sz w:val="26"/>
          <w:szCs w:val="26"/>
        </w:rPr>
        <w:t xml:space="preserve">5.3 Geographic Churn Disparity</w:t>
      </w:r>
    </w:p>
    <w:p>
      <w:pPr>
        <w:spacing w:before="80" w:after="80"/>
        <w:jc w:val="both"/>
      </w:pPr>
      <w:r>
        <w:rPr>
          <w:rFonts w:ascii="Arial" w:cs="Arial" w:eastAsia="Arial" w:hAnsi="Arial"/>
          <w:color w:val="4A4A4A"/>
          <w:sz w:val="20"/>
          <w:szCs w:val="20"/>
        </w:rPr>
        <w:t xml:space="preserve">Germany presents the most acute retention challenge in the portfolio. German customers churn at 32.44% — double the rate observed in France (16.15%) and Spain (16.67%). This geographic disparity cannot be explained by differences in balance, salary, or product count alone, suggesting structural or service-quality factors specific to the German market.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B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Country</w:t>
            </w:r>
          </w:p>
        </w:tc>
        <w:tc>
          <w:tcPr>
            <w:tcW w:type="dxa" w:w="1872"/>
            <w:tcBorders>
              <w:top w:val="single" w:color="CCCCCC" w:sz="1"/>
              <w:left w:val="single" w:color="CCCCCC" w:sz="1"/>
              <w:bottom w:val="single" w:color="CCCCCC" w:sz="1"/>
              <w:right w:val="single" w:color="CCCCCC" w:sz="1"/>
            </w:tcBorders>
            <w:shd w:fill="1F3B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Customers</w:t>
            </w:r>
          </w:p>
        </w:tc>
        <w:tc>
          <w:tcPr>
            <w:tcW w:type="dxa" w:w="1872"/>
            <w:tcBorders>
              <w:top w:val="single" w:color="CCCCCC" w:sz="1"/>
              <w:left w:val="single" w:color="CCCCCC" w:sz="1"/>
              <w:bottom w:val="single" w:color="CCCCCC" w:sz="1"/>
              <w:right w:val="single" w:color="CCCCCC" w:sz="1"/>
            </w:tcBorders>
            <w:shd w:fill="1F3B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Churn Rate</w:t>
            </w:r>
          </w:p>
        </w:tc>
        <w:tc>
          <w:tcPr>
            <w:tcW w:type="dxa" w:w="1872"/>
            <w:tcBorders>
              <w:top w:val="single" w:color="CCCCCC" w:sz="1"/>
              <w:left w:val="single" w:color="CCCCCC" w:sz="1"/>
              <w:bottom w:val="single" w:color="CCCCCC" w:sz="1"/>
              <w:right w:val="single" w:color="CCCCCC" w:sz="1"/>
            </w:tcBorders>
            <w:shd w:fill="1F3B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Balance</w:t>
            </w:r>
          </w:p>
        </w:tc>
        <w:tc>
          <w:tcPr>
            <w:tcW w:type="dxa" w:w="1872"/>
            <w:tcBorders>
              <w:top w:val="single" w:color="CCCCCC" w:sz="1"/>
              <w:left w:val="single" w:color="CCCCCC" w:sz="1"/>
              <w:bottom w:val="single" w:color="CCCCCC" w:sz="1"/>
              <w:right w:val="single" w:color="CCCCCC" w:sz="1"/>
            </w:tcBorders>
            <w:shd w:fill="1F3B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Active %</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France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5,014</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1E8449"/>
                <w:sz w:val="18"/>
                <w:szCs w:val="18"/>
              </w:rPr>
              <w:t xml:space="preserve">16.15%</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€62,091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51.8%</w:t>
            </w:r>
          </w:p>
        </w:tc>
      </w:tr>
      <w:tr>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Germany</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2,509</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32.44%</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€119,730</w:t>
            </w:r>
          </w:p>
        </w:tc>
        <w:tc>
          <w:tcPr>
            <w:tcW w:type="dxa" w:w="1872"/>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49.8%</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Spain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2,477</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85000"/>
                <w:sz w:val="18"/>
                <w:szCs w:val="18"/>
              </w:rPr>
              <w:t xml:space="preserve">16.67%</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€61,803</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52.9%</w:t>
            </w:r>
          </w:p>
        </w:tc>
      </w:tr>
    </w:tbl>
    <w:p>
      <w:pPr>
        <w:spacing w:before="80" w:after="80"/>
      </w:pPr>
      <w:r>
        <w:t xml:space="preserve"/>
      </w:r>
    </w:p>
    <w:p>
      <w:pPr>
        <w:spacing w:before="80" w:after="80"/>
        <w:jc w:val="both"/>
      </w:pPr>
      <w:r>
        <w:rPr>
          <w:rFonts w:ascii="Arial" w:cs="Arial" w:eastAsia="Arial" w:hAnsi="Arial"/>
          <w:color w:val="4A4A4A"/>
          <w:sz w:val="20"/>
          <w:szCs w:val="20"/>
        </w:rPr>
        <w:t xml:space="preserve">Notably, German customers hold the highest average balances (€119,730 vs €62,091 in France), making their elevated churn rate particularly costly from a revenue perspective.</w:t>
      </w:r>
    </w:p>
    <w:p>
      <w:pPr>
        <w:spacing w:before="160" w:after="160"/>
      </w:pPr>
      <w:r>
        <w:t xml:space="preserve"/>
      </w:r>
    </w:p>
    <w:p>
      <w:pPr>
        <w:pStyle w:val="Heading2"/>
        <w:spacing w:before="300" w:after="120"/>
      </w:pPr>
      <w:r>
        <w:rPr>
          <w:rFonts w:ascii="Arial" w:cs="Arial" w:eastAsia="Arial" w:hAnsi="Arial"/>
          <w:b/>
          <w:bCs/>
          <w:color w:val="2E5FA3"/>
          <w:sz w:val="26"/>
          <w:szCs w:val="26"/>
        </w:rPr>
        <w:t xml:space="preserve">5.4 Age Group Analysis</w:t>
      </w:r>
    </w:p>
    <w:p>
      <w:pPr>
        <w:spacing w:before="80" w:after="80"/>
        <w:jc w:val="both"/>
      </w:pPr>
      <w:r>
        <w:rPr>
          <w:rFonts w:ascii="Arial" w:cs="Arial" w:eastAsia="Arial" w:hAnsi="Arial"/>
          <w:color w:val="4A4A4A"/>
          <w:sz w:val="20"/>
          <w:szCs w:val="20"/>
        </w:rPr>
        <w:t xml:space="preserve">Churn risk peaks sharply in the 46–55 age bracket, where 50.57% of customers churned — the highest of any age cohort. This mid-career segment typically has the highest financial complexity (mortgages, investment needs, pension planning) and may be most actively evaluating whether their banking relationship delivers sufficient value. Younger customers (18–35) and older customers (65+) show lower churn rates.</w:t>
      </w:r>
    </w:p>
    <w:p>
      <w:pPr>
        <w:spacing w:before="160" w:after="160"/>
      </w:pPr>
      <w:r>
        <w:t xml:space="preserve"/>
      </w:r>
    </w:p>
    <w:p>
      <w:r>
        <w:br w:type="page"/>
      </w:r>
    </w:p>
    <w:p>
      <w:pPr>
        <w:pStyle w:val="Heading2"/>
        <w:spacing w:before="300" w:after="120"/>
      </w:pPr>
      <w:r>
        <w:rPr>
          <w:rFonts w:ascii="Arial" w:cs="Arial" w:eastAsia="Arial" w:hAnsi="Arial"/>
          <w:b/>
          <w:bCs/>
          <w:color w:val="2E5FA3"/>
          <w:sz w:val="26"/>
          <w:szCs w:val="26"/>
        </w:rPr>
        <w:t xml:space="preserve">5.5 High-Value Disengaged Customers</w:t>
      </w:r>
    </w:p>
    <w:p>
      <w:pPr>
        <w:spacing w:before="80" w:after="80"/>
        <w:jc w:val="both"/>
      </w:pPr>
      <w:r>
        <w:rPr>
          <w:rFonts w:ascii="Arial" w:cs="Arial" w:eastAsia="Arial" w:hAnsi="Arial"/>
          <w:color w:val="4A4A4A"/>
          <w:sz w:val="20"/>
          <w:szCs w:val="20"/>
        </w:rPr>
        <w:t xml:space="preserve">The HVD segment — 1,247 customers with top-quartile balances (above €127,644) who are completely inactive — represents one of the highest-priority intervention opportunities in the portfolio. At a 30.47% churn rate (versus 18.93% for standard customers), losing even a fraction of this segment would represent significant balance outflow.</w:t>
      </w:r>
    </w:p>
    <w:p>
      <w:pPr>
        <w:spacing w:before="80" w:after="80"/>
      </w:pPr>
      <w:r>
        <w:t xml:space="preserve"/>
      </w:r>
    </w:p>
    <w:p>
      <w:pPr>
        <w:spacing w:before="80" w:after="80"/>
        <w:jc w:val="both"/>
      </w:pPr>
      <w:r>
        <w:rPr>
          <w:rFonts w:ascii="Arial" w:cs="Arial" w:eastAsia="Arial" w:hAnsi="Arial"/>
          <w:b/>
          <w:bCs/>
          <w:color w:val="4A4A4A"/>
          <w:sz w:val="20"/>
          <w:szCs w:val="20"/>
        </w:rPr>
        <w:t xml:space="preserve">The financial stakes are substantial: </w:t>
      </w:r>
      <w:r>
        <w:rPr>
          <w:rFonts w:ascii="Arial" w:cs="Arial" w:eastAsia="Arial" w:hAnsi="Arial"/>
          <w:color w:val="4A4A4A"/>
          <w:sz w:val="20"/>
          <w:szCs w:val="20"/>
        </w:rPr>
        <w:t xml:space="preserve">HVD customers average balances well above €127,644 by definition. If even 30% of the 1,247 HVD customers churn (as the rate suggests), the bank risks losing over 374 accounts at €127,644+ each — a potential balance outflow exceeding €47 million.</w:t>
      </w:r>
    </w:p>
    <w:p>
      <w:pPr>
        <w:spacing w:before="160" w:after="160"/>
      </w:pPr>
      <w:r>
        <w:t xml:space="preserve"/>
      </w:r>
    </w:p>
    <w:p>
      <w:pPr>
        <w:pStyle w:val="Heading2"/>
        <w:spacing w:before="300" w:after="120"/>
      </w:pPr>
      <w:r>
        <w:rPr>
          <w:rFonts w:ascii="Arial" w:cs="Arial" w:eastAsia="Arial" w:hAnsi="Arial"/>
          <w:b/>
          <w:bCs/>
          <w:color w:val="2E5FA3"/>
          <w:sz w:val="26"/>
          <w:szCs w:val="26"/>
        </w:rPr>
        <w:t xml:space="preserve">5.6 Silent Premium Churners</w:t>
      </w:r>
    </w:p>
    <w:p>
      <w:pPr>
        <w:spacing w:before="80" w:after="80"/>
        <w:jc w:val="both"/>
      </w:pPr>
      <w:r>
        <w:rPr>
          <w:rFonts w:ascii="Arial" w:cs="Arial" w:eastAsia="Arial" w:hAnsi="Arial"/>
          <w:color w:val="4A4A4A"/>
          <w:sz w:val="20"/>
          <w:szCs w:val="20"/>
        </w:rPr>
        <w:t xml:space="preserve">371 high-salary customers (top salary quartile, above €149,388) exited the bank while holding only a single product. This is the most operationally significant finding for commercial strategy: the bank had access to wealthy customers and failed to deepen the relationship before they left.</w:t>
      </w:r>
    </w:p>
    <w:p>
      <w:pPr>
        <w:spacing w:before="80" w:after="80"/>
      </w:pPr>
      <w:r>
        <w:t xml:space="preserve"/>
      </w:r>
    </w:p>
    <w:p>
      <w:pPr>
        <w:spacing w:before="80" w:after="80"/>
        <w:jc w:val="both"/>
      </w:pPr>
      <w:r>
        <w:rPr>
          <w:rFonts w:ascii="Arial" w:cs="Arial" w:eastAsia="Arial" w:hAnsi="Arial"/>
          <w:color w:val="4A4A4A"/>
          <w:sz w:val="20"/>
          <w:szCs w:val="20"/>
        </w:rPr>
        <w:t xml:space="preserve">Analysis shows 48.2% of these silent churners were still active members at the point of exit — meaning they were not disengaged, but rather under-served. They wanted more but did not find it within the bank's product offerings.</w:t>
      </w:r>
    </w:p>
    <w:p>
      <w:pPr>
        <w:spacing w:before="160" w:after="160"/>
      </w:pPr>
      <w:r>
        <w:t xml:space="preserve"/>
      </w:r>
    </w:p>
    <w:p>
      <w:pPr>
        <w:pStyle w:val="Heading2"/>
        <w:spacing w:before="300" w:after="120"/>
      </w:pPr>
      <w:r>
        <w:rPr>
          <w:rFonts w:ascii="Arial" w:cs="Arial" w:eastAsia="Arial" w:hAnsi="Arial"/>
          <w:b/>
          <w:bCs/>
          <w:color w:val="2E5FA3"/>
          <w:sz w:val="26"/>
          <w:szCs w:val="26"/>
        </w:rPr>
        <w:t xml:space="preserve">5.7 Gender &amp; Active Membership</w:t>
      </w:r>
    </w:p>
    <w:p>
      <w:pPr>
        <w:spacing w:before="80" w:after="80"/>
        <w:jc w:val="both"/>
      </w:pPr>
      <w:r>
        <w:rPr>
          <w:rFonts w:ascii="Arial" w:cs="Arial" w:eastAsia="Arial" w:hAnsi="Arial"/>
          <w:color w:val="4A4A4A"/>
          <w:sz w:val="20"/>
          <w:szCs w:val="20"/>
        </w:rPr>
        <w:t xml:space="preserve">Female customers churn at 25.07% versus 16.46% for male customers — a 52% differential that warrants dedicated investigation. Meanwhile, inactive members churn at 26.85% compared to 14.27% for active members, confirming that activation is one of the most impactful early interventions available.</w:t>
      </w:r>
    </w:p>
    <w:p>
      <w:pPr>
        <w:spacing w:before="200" w:after="200"/>
      </w:pPr>
      <w:r>
        <w:t xml:space="preserve"/>
      </w:r>
    </w:p>
    <w:p>
      <w:r>
        <w:br w:type="page"/>
      </w:r>
    </w:p>
    <w:p>
      <w:pPr>
        <w:pStyle w:val="Heading1"/>
        <w:pBdr>
          <w:bottom w:val="single" w:color="1F3B73" w:sz="8" w:space="4"/>
        </w:pBdr>
        <w:spacing w:before="400" w:after="200"/>
      </w:pPr>
      <w:r>
        <w:rPr>
          <w:rFonts w:ascii="Arial" w:cs="Arial" w:eastAsia="Arial" w:hAnsi="Arial"/>
          <w:b/>
          <w:bCs/>
          <w:color w:val="1F3B73"/>
          <w:sz w:val="36"/>
          <w:szCs w:val="36"/>
        </w:rPr>
        <w:t xml:space="preserve">6. Strategic Recommendations</w:t>
      </w:r>
    </w:p>
    <w:p>
      <w:pPr>
        <w:pStyle w:val="Heading2"/>
        <w:spacing w:before="300" w:after="120"/>
      </w:pPr>
      <w:r>
        <w:rPr>
          <w:rFonts w:ascii="Arial" w:cs="Arial" w:eastAsia="Arial" w:hAnsi="Arial"/>
          <w:b/>
          <w:bCs/>
          <w:color w:val="2E5FA3"/>
          <w:sz w:val="26"/>
          <w:szCs w:val="26"/>
        </w:rPr>
        <w:t xml:space="preserve">Recommendation 1: Emergency Re-engagement for HVD Segment [CRITICAL]</w:t>
      </w:r>
    </w:p>
    <w:p>
      <w:pPr>
        <w:spacing w:before="80" w:after="80"/>
        <w:jc w:val="both"/>
      </w:pPr>
      <w:r>
        <w:rPr>
          <w:rFonts w:ascii="Arial" w:cs="Arial" w:eastAsia="Arial" w:hAnsi="Arial"/>
          <w:color w:val="4A4A4A"/>
          <w:sz w:val="20"/>
          <w:szCs w:val="20"/>
        </w:rPr>
        <w:t xml:space="preserve">The 1,247 High-Value Disengaged customers must be treated as an immediate retention emergency. A structured outreach program should be launched within 30 days.</w:t>
      </w:r>
    </w:p>
    <w:p>
      <w:pPr>
        <w:pStyle w:val="ListParagraph"/>
        <w:numPr>
          <w:ilvl w:val="0"/>
          <w:numId w:val="2"/>
        </w:numPr>
        <w:spacing w:before="60" w:after="60"/>
      </w:pPr>
      <w:r>
        <w:rPr>
          <w:rFonts w:ascii="Arial" w:cs="Arial" w:eastAsia="Arial" w:hAnsi="Arial"/>
          <w:color w:val="4A4A4A"/>
          <w:sz w:val="20"/>
          <w:szCs w:val="20"/>
        </w:rPr>
        <w:t xml:space="preserve">Assign dedicated relationship managers to all HVD accounts</w:t>
      </w:r>
    </w:p>
    <w:p>
      <w:pPr>
        <w:pStyle w:val="ListParagraph"/>
        <w:numPr>
          <w:ilvl w:val="0"/>
          <w:numId w:val="2"/>
        </w:numPr>
        <w:spacing w:before="60" w:after="60"/>
      </w:pPr>
      <w:r>
        <w:rPr>
          <w:rFonts w:ascii="Arial" w:cs="Arial" w:eastAsia="Arial" w:hAnsi="Arial"/>
          <w:color w:val="4A4A4A"/>
          <w:sz w:val="20"/>
          <w:szCs w:val="20"/>
        </w:rPr>
        <w:t xml:space="preserve">Offer premium service upgrades: priority customer service, preferential loan rates</w:t>
      </w:r>
    </w:p>
    <w:p>
      <w:pPr>
        <w:pStyle w:val="ListParagraph"/>
        <w:numPr>
          <w:ilvl w:val="0"/>
          <w:numId w:val="2"/>
        </w:numPr>
        <w:spacing w:before="60" w:after="60"/>
      </w:pPr>
      <w:r>
        <w:rPr>
          <w:rFonts w:ascii="Arial" w:cs="Arial" w:eastAsia="Arial" w:hAnsi="Arial"/>
          <w:color w:val="4A4A4A"/>
          <w:sz w:val="20"/>
          <w:szCs w:val="20"/>
        </w:rPr>
        <w:t xml:space="preserve">Provide personalized investment and wealth management consultations</w:t>
      </w:r>
    </w:p>
    <w:p>
      <w:pPr>
        <w:pStyle w:val="ListParagraph"/>
        <w:numPr>
          <w:ilvl w:val="0"/>
          <w:numId w:val="2"/>
        </w:numPr>
        <w:spacing w:before="60" w:after="60"/>
      </w:pPr>
      <w:r>
        <w:rPr>
          <w:rFonts w:ascii="Arial" w:cs="Arial" w:eastAsia="Arial" w:hAnsi="Arial"/>
          <w:color w:val="4A4A4A"/>
          <w:sz w:val="20"/>
          <w:szCs w:val="20"/>
        </w:rPr>
        <w:t xml:space="preserve">Implement early warning system: flag any HVD customer showing digital inactivity for 60+ days</w:t>
      </w:r>
    </w:p>
    <w:p>
      <w:pPr>
        <w:spacing w:before="120" w:after="120"/>
      </w:pPr>
      <w:r>
        <w:t xml:space="preserve"/>
      </w:r>
    </w:p>
    <w:p>
      <w:pPr>
        <w:pStyle w:val="Heading2"/>
        <w:spacing w:before="300" w:after="120"/>
      </w:pPr>
      <w:r>
        <w:rPr>
          <w:rFonts w:ascii="Arial" w:cs="Arial" w:eastAsia="Arial" w:hAnsi="Arial"/>
          <w:b/>
          <w:bCs/>
          <w:color w:val="2E5FA3"/>
          <w:sz w:val="26"/>
          <w:szCs w:val="26"/>
        </w:rPr>
        <w:t xml:space="preserve">Recommendation 2: Silent Premium Churn Prevention [CRITICAL]</w:t>
      </w:r>
    </w:p>
    <w:p>
      <w:pPr>
        <w:spacing w:before="80" w:after="80"/>
        <w:jc w:val="both"/>
      </w:pPr>
      <w:r>
        <w:rPr>
          <w:rFonts w:ascii="Arial" w:cs="Arial" w:eastAsia="Arial" w:hAnsi="Arial"/>
          <w:color w:val="4A4A4A"/>
          <w:sz w:val="20"/>
          <w:szCs w:val="20"/>
        </w:rPr>
        <w:t xml:space="preserve">High-salary customers leaving as single-product users represent the greatest missed revenue opportunity. The bank must intercept this segment before departure.</w:t>
      </w:r>
    </w:p>
    <w:p>
      <w:pPr>
        <w:pStyle w:val="ListParagraph"/>
        <w:numPr>
          <w:ilvl w:val="0"/>
          <w:numId w:val="2"/>
        </w:numPr>
        <w:spacing w:before="60" w:after="60"/>
      </w:pPr>
      <w:r>
        <w:rPr>
          <w:rFonts w:ascii="Arial" w:cs="Arial" w:eastAsia="Arial" w:hAnsi="Arial"/>
          <w:color w:val="4A4A4A"/>
          <w:sz w:val="20"/>
          <w:szCs w:val="20"/>
        </w:rPr>
        <w:t xml:space="preserve">Deploy AI-driven "Next Best Offer" engine for top-salary segments with 1 product</w:t>
      </w:r>
    </w:p>
    <w:p>
      <w:pPr>
        <w:pStyle w:val="ListParagraph"/>
        <w:numPr>
          <w:ilvl w:val="0"/>
          <w:numId w:val="2"/>
        </w:numPr>
        <w:spacing w:before="60" w:after="60"/>
      </w:pPr>
      <w:r>
        <w:rPr>
          <w:rFonts w:ascii="Arial" w:cs="Arial" w:eastAsia="Arial" w:hAnsi="Arial"/>
          <w:color w:val="4A4A4A"/>
          <w:sz w:val="20"/>
          <w:szCs w:val="20"/>
        </w:rPr>
        <w:t xml:space="preserve">Create premium bundled packages: private banking + investment + travel insurance</w:t>
      </w:r>
    </w:p>
    <w:p>
      <w:pPr>
        <w:pStyle w:val="ListParagraph"/>
        <w:numPr>
          <w:ilvl w:val="0"/>
          <w:numId w:val="2"/>
        </w:numPr>
        <w:spacing w:before="60" w:after="60"/>
      </w:pPr>
      <w:r>
        <w:rPr>
          <w:rFonts w:ascii="Arial" w:cs="Arial" w:eastAsia="Arial" w:hAnsi="Arial"/>
          <w:color w:val="4A4A4A"/>
          <w:sz w:val="20"/>
          <w:szCs w:val="20"/>
        </w:rPr>
        <w:t xml:space="preserve">Introduce 90-day onboarding review for new high-salary customers to identify unmet needs</w:t>
      </w:r>
    </w:p>
    <w:p>
      <w:pPr>
        <w:spacing w:before="120" w:after="120"/>
      </w:pPr>
      <w:r>
        <w:t xml:space="preserve"/>
      </w:r>
    </w:p>
    <w:p>
      <w:pPr>
        <w:pStyle w:val="Heading2"/>
        <w:spacing w:before="300" w:after="120"/>
      </w:pPr>
      <w:r>
        <w:rPr>
          <w:rFonts w:ascii="Arial" w:cs="Arial" w:eastAsia="Arial" w:hAnsi="Arial"/>
          <w:b/>
          <w:bCs/>
          <w:color w:val="2E5FA3"/>
          <w:sz w:val="26"/>
          <w:szCs w:val="26"/>
        </w:rPr>
        <w:t xml:space="preserve">Recommendation 3: Germany Market Investigation [HIGH]</w:t>
      </w:r>
    </w:p>
    <w:p>
      <w:pPr>
        <w:spacing w:before="80" w:after="80"/>
        <w:jc w:val="both"/>
      </w:pPr>
      <w:r>
        <w:rPr>
          <w:rFonts w:ascii="Arial" w:cs="Arial" w:eastAsia="Arial" w:hAnsi="Arial"/>
          <w:color w:val="4A4A4A"/>
          <w:sz w:val="20"/>
          <w:szCs w:val="20"/>
        </w:rPr>
        <w:t xml:space="preserve">The 32.44% churn rate in Germany — double other markets — demands a dedicated market study. Recommended actions:</w:t>
      </w:r>
    </w:p>
    <w:p>
      <w:pPr>
        <w:pStyle w:val="ListParagraph"/>
        <w:numPr>
          <w:ilvl w:val="0"/>
          <w:numId w:val="2"/>
        </w:numPr>
        <w:spacing w:before="60" w:after="60"/>
      </w:pPr>
      <w:r>
        <w:rPr>
          <w:rFonts w:ascii="Arial" w:cs="Arial" w:eastAsia="Arial" w:hAnsi="Arial"/>
          <w:color w:val="4A4A4A"/>
          <w:sz w:val="20"/>
          <w:szCs w:val="20"/>
        </w:rPr>
        <w:t xml:space="preserve">Conduct qualitative customer exit interviews in Germany</w:t>
      </w:r>
    </w:p>
    <w:p>
      <w:pPr>
        <w:pStyle w:val="ListParagraph"/>
        <w:numPr>
          <w:ilvl w:val="0"/>
          <w:numId w:val="2"/>
        </w:numPr>
        <w:spacing w:before="60" w:after="60"/>
      </w:pPr>
      <w:r>
        <w:rPr>
          <w:rFonts w:ascii="Arial" w:cs="Arial" w:eastAsia="Arial" w:hAnsi="Arial"/>
          <w:color w:val="4A4A4A"/>
          <w:sz w:val="20"/>
          <w:szCs w:val="20"/>
        </w:rPr>
        <w:t xml:space="preserve">Benchmark fees, digital product quality, and service experience against German competitors</w:t>
      </w:r>
    </w:p>
    <w:p>
      <w:pPr>
        <w:pStyle w:val="ListParagraph"/>
        <w:numPr>
          <w:ilvl w:val="0"/>
          <w:numId w:val="2"/>
        </w:numPr>
        <w:spacing w:before="60" w:after="60"/>
      </w:pPr>
      <w:r>
        <w:rPr>
          <w:rFonts w:ascii="Arial" w:cs="Arial" w:eastAsia="Arial" w:hAnsi="Arial"/>
          <w:color w:val="4A4A4A"/>
          <w:sz w:val="20"/>
          <w:szCs w:val="20"/>
        </w:rPr>
        <w:t xml:space="preserve">Consider German-specific product localization and dedicated German retention team</w:t>
      </w:r>
    </w:p>
    <w:p>
      <w:pPr>
        <w:spacing w:before="120" w:after="120"/>
      </w:pPr>
      <w:r>
        <w:t xml:space="preserve"/>
      </w:r>
    </w:p>
    <w:p>
      <w:pPr>
        <w:pStyle w:val="Heading2"/>
        <w:spacing w:before="300" w:after="120"/>
      </w:pPr>
      <w:r>
        <w:rPr>
          <w:rFonts w:ascii="Arial" w:cs="Arial" w:eastAsia="Arial" w:hAnsi="Arial"/>
          <w:b/>
          <w:bCs/>
          <w:color w:val="2E5FA3"/>
          <w:sz w:val="26"/>
          <w:szCs w:val="26"/>
        </w:rPr>
        <w:t xml:space="preserve">Recommendation 4: Product Bundling Strategy [HIGH]</w:t>
      </w:r>
    </w:p>
    <w:p>
      <w:pPr>
        <w:spacing w:before="80" w:after="80"/>
        <w:jc w:val="both"/>
      </w:pPr>
      <w:r>
        <w:rPr>
          <w:rFonts w:ascii="Arial" w:cs="Arial" w:eastAsia="Arial" w:hAnsi="Arial"/>
          <w:color w:val="4A4A4A"/>
          <w:sz w:val="20"/>
          <w:szCs w:val="20"/>
        </w:rPr>
        <w:t xml:space="preserve">Moving customers from 1 product to 2 products reduces churn from 27.71% to 7.58% — the single most powerful retention lever in the data. Simultaneously, customers with 3-4 products need relationship management support to ensure products serve genuine needs.</w:t>
      </w:r>
    </w:p>
    <w:p>
      <w:pPr>
        <w:pStyle w:val="ListParagraph"/>
        <w:numPr>
          <w:ilvl w:val="0"/>
          <w:numId w:val="2"/>
        </w:numPr>
        <w:spacing w:before="60" w:after="60"/>
      </w:pPr>
      <w:r>
        <w:rPr>
          <w:rFonts w:ascii="Arial" w:cs="Arial" w:eastAsia="Arial" w:hAnsi="Arial"/>
          <w:color w:val="4A4A4A"/>
          <w:sz w:val="20"/>
          <w:szCs w:val="20"/>
        </w:rPr>
        <w:t xml:space="preserve">Introduce automated second-product recommendation at 3-month tenure milestone</w:t>
      </w:r>
    </w:p>
    <w:p>
      <w:pPr>
        <w:pStyle w:val="ListParagraph"/>
        <w:numPr>
          <w:ilvl w:val="0"/>
          <w:numId w:val="2"/>
        </w:numPr>
        <w:spacing w:before="60" w:after="60"/>
      </w:pPr>
      <w:r>
        <w:rPr>
          <w:rFonts w:ascii="Arial" w:cs="Arial" w:eastAsia="Arial" w:hAnsi="Arial"/>
          <w:color w:val="4A4A4A"/>
          <w:sz w:val="20"/>
          <w:szCs w:val="20"/>
        </w:rPr>
        <w:t xml:space="preserve">Bundle savings account with all new current account openings</w:t>
      </w:r>
    </w:p>
    <w:p>
      <w:pPr>
        <w:pStyle w:val="ListParagraph"/>
        <w:numPr>
          <w:ilvl w:val="0"/>
          <w:numId w:val="2"/>
        </w:numPr>
        <w:spacing w:before="60" w:after="60"/>
      </w:pPr>
      <w:r>
        <w:rPr>
          <w:rFonts w:ascii="Arial" w:cs="Arial" w:eastAsia="Arial" w:hAnsi="Arial"/>
          <w:color w:val="4A4A4A"/>
          <w:sz w:val="20"/>
          <w:szCs w:val="20"/>
        </w:rPr>
        <w:t xml:space="preserve">Implement relationship health checks for 3+ product customers to reduce oversell churn</w:t>
      </w:r>
    </w:p>
    <w:p>
      <w:pPr>
        <w:spacing w:before="120" w:after="120"/>
      </w:pPr>
      <w:r>
        <w:t xml:space="preserve"/>
      </w:r>
    </w:p>
    <w:p>
      <w:pPr>
        <w:pStyle w:val="Heading2"/>
        <w:spacing w:before="300" w:after="120"/>
      </w:pPr>
      <w:r>
        <w:rPr>
          <w:rFonts w:ascii="Arial" w:cs="Arial" w:eastAsia="Arial" w:hAnsi="Arial"/>
          <w:b/>
          <w:bCs/>
          <w:color w:val="2E5FA3"/>
          <w:sz w:val="26"/>
          <w:szCs w:val="26"/>
        </w:rPr>
        <w:t xml:space="preserve">Recommendation 5: Mid-Life Financial Planning Programme [MEDIUM]</w:t>
      </w:r>
    </w:p>
    <w:p>
      <w:pPr>
        <w:spacing w:before="80" w:after="80"/>
        <w:jc w:val="both"/>
      </w:pPr>
      <w:r>
        <w:rPr>
          <w:rFonts w:ascii="Arial" w:cs="Arial" w:eastAsia="Arial" w:hAnsi="Arial"/>
          <w:color w:val="4A4A4A"/>
          <w:sz w:val="20"/>
          <w:szCs w:val="20"/>
        </w:rPr>
        <w:t xml:space="preserve">The 46–55 age bracket's 50.57% churn rate signals unmet complex financial needs. Launch a dedicated proposition:</w:t>
      </w:r>
    </w:p>
    <w:p>
      <w:pPr>
        <w:pStyle w:val="ListParagraph"/>
        <w:numPr>
          <w:ilvl w:val="0"/>
          <w:numId w:val="2"/>
        </w:numPr>
        <w:spacing w:before="60" w:after="60"/>
      </w:pPr>
      <w:r>
        <w:rPr>
          <w:rFonts w:ascii="Arial" w:cs="Arial" w:eastAsia="Arial" w:hAnsi="Arial"/>
          <w:color w:val="4A4A4A"/>
          <w:sz w:val="20"/>
          <w:szCs w:val="20"/>
        </w:rPr>
        <w:t xml:space="preserve">Pension advisory and retirement planning service</w:t>
      </w:r>
    </w:p>
    <w:p>
      <w:pPr>
        <w:pStyle w:val="ListParagraph"/>
        <w:numPr>
          <w:ilvl w:val="0"/>
          <w:numId w:val="2"/>
        </w:numPr>
        <w:spacing w:before="60" w:after="60"/>
      </w:pPr>
      <w:r>
        <w:rPr>
          <w:rFonts w:ascii="Arial" w:cs="Arial" w:eastAsia="Arial" w:hAnsi="Arial"/>
          <w:color w:val="4A4A4A"/>
          <w:sz w:val="20"/>
          <w:szCs w:val="20"/>
        </w:rPr>
        <w:t xml:space="preserve">Mortgage refinancing review programme</w:t>
      </w:r>
    </w:p>
    <w:p>
      <w:pPr>
        <w:pStyle w:val="ListParagraph"/>
        <w:numPr>
          <w:ilvl w:val="0"/>
          <w:numId w:val="2"/>
        </w:numPr>
        <w:spacing w:before="60" w:after="60"/>
      </w:pPr>
      <w:r>
        <w:rPr>
          <w:rFonts w:ascii="Arial" w:cs="Arial" w:eastAsia="Arial" w:hAnsi="Arial"/>
          <w:color w:val="4A4A4A"/>
          <w:sz w:val="20"/>
          <w:szCs w:val="20"/>
        </w:rPr>
        <w:t xml:space="preserve">Wealth management consultation for high-balance customers in this cohort</w:t>
      </w:r>
    </w:p>
    <w:p>
      <w:pPr>
        <w:spacing w:before="120" w:after="120"/>
      </w:pPr>
      <w:r>
        <w:t xml:space="preserve"/>
      </w:r>
    </w:p>
    <w:p>
      <w:pPr>
        <w:pStyle w:val="Heading2"/>
        <w:spacing w:before="300" w:after="120"/>
      </w:pPr>
      <w:r>
        <w:rPr>
          <w:rFonts w:ascii="Arial" w:cs="Arial" w:eastAsia="Arial" w:hAnsi="Arial"/>
          <w:b/>
          <w:bCs/>
          <w:color w:val="2E5FA3"/>
          <w:sz w:val="26"/>
          <w:szCs w:val="26"/>
        </w:rPr>
        <w:t xml:space="preserve">Recommendation 6: Activation &amp; Gamification Programme [MEDIUM]</w:t>
      </w:r>
    </w:p>
    <w:p>
      <w:pPr>
        <w:spacing w:before="80" w:after="80"/>
        <w:jc w:val="both"/>
      </w:pPr>
      <w:r>
        <w:rPr>
          <w:rFonts w:ascii="Arial" w:cs="Arial" w:eastAsia="Arial" w:hAnsi="Arial"/>
          <w:color w:val="4A4A4A"/>
          <w:sz w:val="20"/>
          <w:szCs w:val="20"/>
        </w:rPr>
        <w:t xml:space="preserve">With only 51.5% of customers classified as active, a structured activation campaign could meaningfully reduce portfolio-wide churn.</w:t>
      </w:r>
    </w:p>
    <w:p>
      <w:pPr>
        <w:pStyle w:val="ListParagraph"/>
        <w:numPr>
          <w:ilvl w:val="0"/>
          <w:numId w:val="2"/>
        </w:numPr>
        <w:spacing w:before="60" w:after="60"/>
      </w:pPr>
      <w:r>
        <w:rPr>
          <w:rFonts w:ascii="Arial" w:cs="Arial" w:eastAsia="Arial" w:hAnsi="Arial"/>
          <w:color w:val="4A4A4A"/>
          <w:sz w:val="20"/>
          <w:szCs w:val="20"/>
        </w:rPr>
        <w:t xml:space="preserve">Introduce loyalty points for digital banking actions: logins, bill payments, new product adoption</w:t>
      </w:r>
    </w:p>
    <w:p>
      <w:pPr>
        <w:pStyle w:val="ListParagraph"/>
        <w:numPr>
          <w:ilvl w:val="0"/>
          <w:numId w:val="2"/>
        </w:numPr>
        <w:spacing w:before="60" w:after="60"/>
      </w:pPr>
      <w:r>
        <w:rPr>
          <w:rFonts w:ascii="Arial" w:cs="Arial" w:eastAsia="Arial" w:hAnsi="Arial"/>
          <w:color w:val="4A4A4A"/>
          <w:sz w:val="20"/>
          <w:szCs w:val="20"/>
        </w:rPr>
        <w:t xml:space="preserve">Monthly engagement reports personalised to customers showing their financial health vs peers</w:t>
      </w:r>
    </w:p>
    <w:p>
      <w:pPr>
        <w:pStyle w:val="ListParagraph"/>
        <w:numPr>
          <w:ilvl w:val="0"/>
          <w:numId w:val="2"/>
        </w:numPr>
        <w:spacing w:before="60" w:after="60"/>
      </w:pPr>
      <w:r>
        <w:rPr>
          <w:rFonts w:ascii="Arial" w:cs="Arial" w:eastAsia="Arial" w:hAnsi="Arial"/>
          <w:color w:val="4A4A4A"/>
          <w:sz w:val="20"/>
          <w:szCs w:val="20"/>
        </w:rPr>
        <w:t xml:space="preserve">Reactivation email/app campaign for all customers inactive for 90+ days</w:t>
      </w:r>
    </w:p>
    <w:p>
      <w:pPr>
        <w:spacing w:before="200" w:after="200"/>
      </w:pPr>
      <w:r>
        <w:t xml:space="preserve"/>
      </w:r>
    </w:p>
    <w:p>
      <w:r>
        <w:br w:type="page"/>
      </w:r>
    </w:p>
    <w:p>
      <w:pPr>
        <w:pStyle w:val="Heading1"/>
        <w:pBdr>
          <w:bottom w:val="single" w:color="1F3B73" w:sz="8" w:space="4"/>
        </w:pBdr>
        <w:spacing w:before="400" w:after="200"/>
      </w:pPr>
      <w:r>
        <w:rPr>
          <w:rFonts w:ascii="Arial" w:cs="Arial" w:eastAsia="Arial" w:hAnsi="Arial"/>
          <w:b/>
          <w:bCs/>
          <w:color w:val="1F3B73"/>
          <w:sz w:val="36"/>
          <w:szCs w:val="36"/>
        </w:rPr>
        <w:t xml:space="preserve">7. Conclusion</w:t>
      </w:r>
    </w:p>
    <w:p>
      <w:pPr>
        <w:spacing w:before="80" w:after="80"/>
        <w:jc w:val="both"/>
      </w:pPr>
      <w:r>
        <w:rPr>
          <w:rFonts w:ascii="Arial" w:cs="Arial" w:eastAsia="Arial" w:hAnsi="Arial"/>
          <w:color w:val="4A4A4A"/>
          <w:sz w:val="20"/>
          <w:szCs w:val="20"/>
        </w:rPr>
        <w:t xml:space="preserve">This analysis demonstrates that customer churn in European retail banking is fundamentally a behavioral phenomenon, not a demographic or financial one. The data consistently shows that engagement depth — measured through active usage, product breadth, and relationship tenure — is a far stronger predictor of retention than account balance or estimated salary.</w:t>
      </w:r>
    </w:p>
    <w:p>
      <w:pPr>
        <w:spacing w:before="80" w:after="80"/>
      </w:pPr>
      <w:r>
        <w:t xml:space="preserve"/>
      </w:r>
    </w:p>
    <w:p>
      <w:pPr>
        <w:spacing w:before="80" w:after="80"/>
        <w:jc w:val="both"/>
      </w:pPr>
      <w:r>
        <w:rPr>
          <w:rFonts w:ascii="Arial" w:cs="Arial" w:eastAsia="Arial" w:hAnsi="Arial"/>
          <w:color w:val="4A4A4A"/>
          <w:sz w:val="20"/>
          <w:szCs w:val="20"/>
        </w:rPr>
        <w:t xml:space="preserve">The three most urgent findings are: (1) the 1,247 High-Value Disengaged customers who represent an immediate balance-flight risk; (2) the 371 Silent Premium Churners who were never properly served; and (3) the Germany market where churn rates are systematically double those of comparable markets.</w:t>
      </w:r>
    </w:p>
    <w:p>
      <w:pPr>
        <w:spacing w:before="80" w:after="80"/>
      </w:pPr>
      <w:r>
        <w:t xml:space="preserve"/>
      </w:r>
    </w:p>
    <w:p>
      <w:pPr>
        <w:spacing w:before="80" w:after="80"/>
        <w:jc w:val="both"/>
      </w:pPr>
      <w:r>
        <w:rPr>
          <w:rFonts w:ascii="Arial" w:cs="Arial" w:eastAsia="Arial" w:hAnsi="Arial"/>
          <w:color w:val="4A4A4A"/>
          <w:sz w:val="20"/>
          <w:szCs w:val="20"/>
        </w:rPr>
        <w:t xml:space="preserve">Addressing these three populations alone — through targeted re-engagement, product deepening, and geographic investigation — could reduce portfolio-wide churn from 20.4% to below 15%, retaining billions in customer assets and significantly improving net interest income. The path to retention excellence in European banking runs through behavioral engagement, not product complexity.</w:t>
      </w:r>
    </w:p>
    <w:p>
      <w:pPr>
        <w:spacing w:before="160" w:after="160"/>
      </w:pPr>
      <w:r>
        <w:t xml:space="preserve"/>
      </w:r>
    </w:p>
    <w:p>
      <w:pPr>
        <w:pStyle w:val="Heading1"/>
        <w:pBdr>
          <w:bottom w:val="single" w:color="1F3B73" w:sz="8" w:space="4"/>
        </w:pBdr>
        <w:spacing w:before="400" w:after="200"/>
      </w:pPr>
      <w:r>
        <w:rPr>
          <w:rFonts w:ascii="Arial" w:cs="Arial" w:eastAsia="Arial" w:hAnsi="Arial"/>
          <w:b/>
          <w:bCs/>
          <w:color w:val="1F3B73"/>
          <w:sz w:val="36"/>
          <w:szCs w:val="36"/>
        </w:rPr>
        <w:t xml:space="preserve">8. Key Performance Indicators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B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KPI Metric</w:t>
            </w:r>
          </w:p>
        </w:tc>
        <w:tc>
          <w:tcPr>
            <w:tcW w:type="dxa" w:w="3120"/>
            <w:tcBorders>
              <w:top w:val="single" w:color="CCCCCC" w:sz="1"/>
              <w:left w:val="single" w:color="CCCCCC" w:sz="1"/>
              <w:bottom w:val="single" w:color="CCCCCC" w:sz="1"/>
              <w:right w:val="single" w:color="CCCCCC" w:sz="1"/>
            </w:tcBorders>
            <w:shd w:fill="1F3B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Current Value</w:t>
            </w:r>
          </w:p>
        </w:tc>
        <w:tc>
          <w:tcPr>
            <w:tcW w:type="dxa" w:w="3120"/>
            <w:tcBorders>
              <w:top w:val="single" w:color="CCCCCC" w:sz="1"/>
              <w:left w:val="single" w:color="CCCCCC" w:sz="1"/>
              <w:bottom w:val="single" w:color="CCCCCC" w:sz="1"/>
              <w:right w:val="single" w:color="CCCCCC" w:sz="1"/>
            </w:tcBorders>
            <w:shd w:fill="1F3B73"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Target (12-Month)</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Overall Churn Rate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20.37%</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1E8449"/>
                <w:sz w:val="18"/>
                <w:szCs w:val="18"/>
              </w:rPr>
              <w:t xml:space="preserve">&lt; 15.0%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Avg Engagement Score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5.38 / 9.0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1E8449"/>
                <w:sz w:val="18"/>
                <w:szCs w:val="18"/>
              </w:rPr>
              <w:t xml:space="preserve">&gt; 6.5</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Active Member Rate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51.5%</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1E8449"/>
                <w:sz w:val="18"/>
                <w:szCs w:val="18"/>
              </w:rPr>
              <w:t xml:space="preserve">&gt; 65.0%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High-Value Disengaged Count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1,247</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1E8449"/>
                <w:sz w:val="18"/>
                <w:szCs w:val="18"/>
              </w:rPr>
              <w:t xml:space="preserve">&lt; 600</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Silent Premium Churners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371</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1E8449"/>
                <w:sz w:val="18"/>
                <w:szCs w:val="18"/>
              </w:rPr>
              <w:t xml:space="preserve">&lt; 150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2-Product Customer Share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45.9%</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1E8449"/>
                <w:sz w:val="18"/>
                <w:szCs w:val="18"/>
              </w:rPr>
              <w:t xml:space="preserve">&gt; 55.0%</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Germany Churn Rate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32.44%</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1E8449"/>
                <w:sz w:val="18"/>
                <w:szCs w:val="18"/>
              </w:rPr>
              <w:t xml:space="preserve">&lt; 22.0%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46-55 Age Group Churn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50.57%</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1E8449"/>
                <w:sz w:val="18"/>
                <w:szCs w:val="18"/>
              </w:rPr>
              <w:t xml:space="preserve">&lt; 35.0%</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60"/>
      <w:jc w:val="center"/>
    </w:pPr>
    <w:r>
      <w:rPr>
        <w:rFonts w:ascii="Arial" w:cs="Arial" w:eastAsia="Arial" w:hAnsi="Arial"/>
        <w:color w:val="888888"/>
        <w:sz w:val="16"/>
        <w:szCs w:val="16"/>
      </w:rPr>
      <w:t xml:space="preserve">Confidential Research Report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B73" w:sz="4" w:space="2"/>
      </w:pBdr>
      <w:spacing w:after="0"/>
      <w:jc w:val="right"/>
    </w:pPr>
    <w:r>
      <w:rPr>
        <w:rFonts w:ascii="Arial" w:cs="Arial" w:eastAsia="Arial" w:hAnsi="Arial"/>
        <w:color w:val="2E5FA3"/>
        <w:sz w:val="16"/>
        <w:szCs w:val="16"/>
      </w:rPr>
      <w:t xml:space="preserve">Customer Engagement &amp; Retention Analytics — The European Central Bank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B73"/>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2026-03-07T19:13:14.710Z</dcterms:created>
  <dcterms:modified xsi:type="dcterms:W3CDTF">2026-03-07T19:13:14.711Z</dcterms:modified>
</cp:coreProperties>
</file>

<file path=docProps/custom.xml><?xml version="1.0" encoding="utf-8"?>
<Properties xmlns="http://schemas.openxmlformats.org/officeDocument/2006/custom-properties" xmlns:vt="http://schemas.openxmlformats.org/officeDocument/2006/docPropsVTypes"/>
</file>