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54058" w14:textId="5B88336A" w:rsidR="00100C2B" w:rsidRPr="006163C6" w:rsidRDefault="00C96495" w:rsidP="00DC7FA6">
      <w:pPr>
        <w:jc w:val="both"/>
        <w:rPr>
          <w:rStyle w:val="citation-112"/>
          <w:color w:val="000000"/>
          <w:sz w:val="22"/>
          <w:szCs w:val="22"/>
        </w:rPr>
      </w:pPr>
      <w:r w:rsidRPr="006163C6">
        <w:rPr>
          <w:rStyle w:val="citation-112"/>
          <w:color w:val="000000"/>
          <w:sz w:val="22"/>
          <w:szCs w:val="22"/>
        </w:rPr>
        <w:t xml:space="preserve">An Agent-Based Model (ABM) has been designed to execute </w:t>
      </w:r>
      <w:r w:rsidRPr="006163C6">
        <w:rPr>
          <w:rStyle w:val="citation-112"/>
          <w:color w:val="000000"/>
          <w:sz w:val="22"/>
          <w:szCs w:val="22"/>
        </w:rPr>
        <w:t xml:space="preserve">the </w:t>
      </w:r>
      <w:r w:rsidRPr="006163C6">
        <w:rPr>
          <w:rStyle w:val="citation-112"/>
          <w:color w:val="000000"/>
          <w:sz w:val="22"/>
          <w:szCs w:val="22"/>
        </w:rPr>
        <w:t>simulation</w:t>
      </w:r>
      <w:r w:rsidRPr="006163C6">
        <w:rPr>
          <w:rStyle w:val="citation-112"/>
          <w:color w:val="000000"/>
          <w:sz w:val="22"/>
          <w:szCs w:val="22"/>
        </w:rPr>
        <w:t xml:space="preserve"> outlined in Aim 2. </w:t>
      </w:r>
      <w:r w:rsidRPr="006163C6">
        <w:rPr>
          <w:rStyle w:val="citation-112"/>
          <w:color w:val="000000"/>
          <w:sz w:val="22"/>
          <w:szCs w:val="22"/>
        </w:rPr>
        <w:t xml:space="preserve">This model </w:t>
      </w:r>
      <w:r w:rsidR="004F065C">
        <w:rPr>
          <w:rStyle w:val="citation-112"/>
          <w:color w:val="000000"/>
          <w:sz w:val="22"/>
          <w:szCs w:val="22"/>
        </w:rPr>
        <w:t>will simulate</w:t>
      </w:r>
      <w:r w:rsidRPr="006163C6">
        <w:rPr>
          <w:rStyle w:val="citation-112"/>
          <w:color w:val="000000"/>
          <w:sz w:val="22"/>
          <w:szCs w:val="22"/>
        </w:rPr>
        <w:t xml:space="preserve"> a heterogeneous population of agents with features representative of the VHA population</w:t>
      </w:r>
      <w:r w:rsidRPr="006163C6">
        <w:rPr>
          <w:rStyle w:val="citation-112"/>
          <w:color w:val="000000"/>
          <w:sz w:val="22"/>
          <w:szCs w:val="22"/>
        </w:rPr>
        <w:t xml:space="preserve">. </w:t>
      </w:r>
    </w:p>
    <w:p w14:paraId="4A549E04" w14:textId="77777777" w:rsidR="00DC7FA6" w:rsidRPr="006163C6" w:rsidRDefault="00DC7FA6" w:rsidP="00DC7FA6">
      <w:pPr>
        <w:jc w:val="both"/>
        <w:rPr>
          <w:rStyle w:val="citation-112"/>
          <w:color w:val="000000"/>
          <w:sz w:val="22"/>
          <w:szCs w:val="22"/>
        </w:rPr>
      </w:pPr>
    </w:p>
    <w:p w14:paraId="546E8FAA" w14:textId="2DC2713E" w:rsidR="00DC7FA6" w:rsidRPr="006163C6" w:rsidRDefault="00812341" w:rsidP="00DC7FA6">
      <w:pPr>
        <w:jc w:val="both"/>
        <w:rPr>
          <w:color w:val="000000"/>
          <w:sz w:val="22"/>
          <w:szCs w:val="22"/>
        </w:rPr>
      </w:pPr>
      <w:r w:rsidRPr="006163C6">
        <w:rPr>
          <w:color w:val="000000"/>
          <w:sz w:val="22"/>
          <w:szCs w:val="22"/>
        </w:rPr>
        <w:drawing>
          <wp:anchor distT="0" distB="0" distL="114300" distR="114300" simplePos="0" relativeHeight="251658240" behindDoc="1" locked="0" layoutInCell="1" allowOverlap="1" wp14:anchorId="2F5B33CB" wp14:editId="38C2ABF3">
            <wp:simplePos x="0" y="0"/>
            <wp:positionH relativeFrom="margin">
              <wp:posOffset>4543425</wp:posOffset>
            </wp:positionH>
            <wp:positionV relativeFrom="paragraph">
              <wp:posOffset>27940</wp:posOffset>
            </wp:positionV>
            <wp:extent cx="2309495" cy="2216785"/>
            <wp:effectExtent l="12700" t="12700" r="14605" b="18415"/>
            <wp:wrapTight wrapText="bothSides">
              <wp:wrapPolygon edited="0">
                <wp:start x="-119" y="-124"/>
                <wp:lineTo x="-119" y="21656"/>
                <wp:lineTo x="21618" y="21656"/>
                <wp:lineTo x="21618" y="-124"/>
                <wp:lineTo x="-119" y="-124"/>
              </wp:wrapPolygon>
            </wp:wrapTight>
            <wp:docPr id="162987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7753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09495" cy="221678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sidR="00DC7FA6" w:rsidRPr="006163C6">
        <w:rPr>
          <w:color w:val="000000"/>
          <w:sz w:val="22"/>
          <w:szCs w:val="22"/>
        </w:rPr>
        <w:t>The ABM is structured around the following components:</w:t>
      </w:r>
    </w:p>
    <w:p w14:paraId="45445BED" w14:textId="6F43EA2D" w:rsidR="00DC7FA6" w:rsidRPr="006163C6" w:rsidRDefault="00DC7FA6" w:rsidP="00DC7FA6">
      <w:pPr>
        <w:pStyle w:val="ListParagraph"/>
        <w:numPr>
          <w:ilvl w:val="0"/>
          <w:numId w:val="1"/>
        </w:numPr>
        <w:jc w:val="both"/>
        <w:rPr>
          <w:color w:val="000000"/>
          <w:sz w:val="22"/>
          <w:szCs w:val="22"/>
        </w:rPr>
      </w:pPr>
      <w:r w:rsidRPr="006163C6">
        <w:rPr>
          <w:color w:val="000000"/>
          <w:sz w:val="22"/>
          <w:szCs w:val="22"/>
        </w:rPr>
        <w:t xml:space="preserve">Agent Attributes: Each agent in the simulation is defined by key attributes, including age, vaccination status, HPV status, duration of infection, number of previous infections, and covariates such as vaccine hesitancy, smoking history, and number of sexual </w:t>
      </w:r>
      <w:r w:rsidRPr="006163C6">
        <w:rPr>
          <w:color w:val="000000"/>
          <w:sz w:val="22"/>
          <w:szCs w:val="22"/>
        </w:rPr>
        <w:t>partners.</w:t>
      </w:r>
    </w:p>
    <w:p w14:paraId="18C5B2A8" w14:textId="58C010F1" w:rsidR="00DC7FA6" w:rsidRPr="006163C6" w:rsidRDefault="00DC7FA6" w:rsidP="00DC7FA6">
      <w:pPr>
        <w:pStyle w:val="ListParagraph"/>
        <w:numPr>
          <w:ilvl w:val="0"/>
          <w:numId w:val="1"/>
        </w:numPr>
        <w:jc w:val="both"/>
        <w:rPr>
          <w:color w:val="000000"/>
          <w:sz w:val="22"/>
          <w:szCs w:val="22"/>
        </w:rPr>
      </w:pPr>
      <w:r w:rsidRPr="006163C6">
        <w:rPr>
          <w:color w:val="000000"/>
          <w:sz w:val="22"/>
          <w:szCs w:val="22"/>
        </w:rPr>
        <w:t xml:space="preserve">Transition States: A transition diagram </w:t>
      </w:r>
      <w:r w:rsidRPr="006163C6">
        <w:rPr>
          <w:color w:val="000000"/>
          <w:sz w:val="22"/>
          <w:szCs w:val="22"/>
        </w:rPr>
        <w:t xml:space="preserve">(see Figure 1) </w:t>
      </w:r>
      <w:r w:rsidRPr="006163C6">
        <w:rPr>
          <w:color w:val="000000"/>
          <w:sz w:val="22"/>
          <w:szCs w:val="22"/>
        </w:rPr>
        <w:t>maps the primary pathways of interest. Agents move between health states including "Healthy," "HPV infection," "Persistent infection," "Cancer" (HPV-OPC), and "Death" (either all-cause mortality or HPV-OPC mortality).</w:t>
      </w:r>
    </w:p>
    <w:p w14:paraId="24F2061E" w14:textId="10751AA6" w:rsidR="00DC7FA6" w:rsidRPr="006163C6" w:rsidRDefault="006163C6" w:rsidP="00DC7FA6">
      <w:pPr>
        <w:pStyle w:val="ListParagraph"/>
        <w:numPr>
          <w:ilvl w:val="0"/>
          <w:numId w:val="1"/>
        </w:numPr>
        <w:jc w:val="both"/>
        <w:rPr>
          <w:color w:val="000000"/>
          <w:sz w:val="22"/>
          <w:szCs w:val="22"/>
        </w:rPr>
      </w:pPr>
      <w:r w:rsidRPr="006163C6">
        <w:rPr>
          <w:noProof/>
          <w:sz w:val="22"/>
          <w:szCs w:val="22"/>
        </w:rPr>
        <mc:AlternateContent>
          <mc:Choice Requires="wps">
            <w:drawing>
              <wp:anchor distT="0" distB="0" distL="114300" distR="114300" simplePos="0" relativeHeight="251660288" behindDoc="1" locked="0" layoutInCell="1" allowOverlap="1" wp14:anchorId="13FB0695" wp14:editId="45728D72">
                <wp:simplePos x="0" y="0"/>
                <wp:positionH relativeFrom="column">
                  <wp:posOffset>4542155</wp:posOffset>
                </wp:positionH>
                <wp:positionV relativeFrom="paragraph">
                  <wp:posOffset>556846</wp:posOffset>
                </wp:positionV>
                <wp:extent cx="2314800" cy="393700"/>
                <wp:effectExtent l="0" t="0" r="0" b="0"/>
                <wp:wrapTight wrapText="bothSides">
                  <wp:wrapPolygon edited="0">
                    <wp:start x="0" y="0"/>
                    <wp:lineTo x="0" y="20903"/>
                    <wp:lineTo x="21452" y="20903"/>
                    <wp:lineTo x="21452" y="0"/>
                    <wp:lineTo x="0" y="0"/>
                  </wp:wrapPolygon>
                </wp:wrapTight>
                <wp:docPr id="913852598" name="Text Box 1"/>
                <wp:cNvGraphicFramePr/>
                <a:graphic xmlns:a="http://schemas.openxmlformats.org/drawingml/2006/main">
                  <a:graphicData uri="http://schemas.microsoft.com/office/word/2010/wordprocessingShape">
                    <wps:wsp>
                      <wps:cNvSpPr txBox="1"/>
                      <wps:spPr>
                        <a:xfrm>
                          <a:off x="0" y="0"/>
                          <a:ext cx="2314800" cy="393700"/>
                        </a:xfrm>
                        <a:prstGeom prst="rect">
                          <a:avLst/>
                        </a:prstGeom>
                        <a:solidFill>
                          <a:prstClr val="white"/>
                        </a:solidFill>
                        <a:ln>
                          <a:noFill/>
                        </a:ln>
                      </wps:spPr>
                      <wps:txbx>
                        <w:txbxContent>
                          <w:p w14:paraId="3AC06445" w14:textId="4AD18408" w:rsidR="00812341" w:rsidRPr="00812341" w:rsidRDefault="00812341" w:rsidP="00812341">
                            <w:pPr>
                              <w:pStyle w:val="Caption"/>
                              <w:rPr>
                                <w:sz w:val="16"/>
                                <w:szCs w:val="16"/>
                              </w:rPr>
                            </w:pPr>
                            <w:r w:rsidRPr="00812341">
                              <w:rPr>
                                <w:sz w:val="16"/>
                                <w:szCs w:val="16"/>
                              </w:rPr>
                              <w:t xml:space="preserve">Figure </w:t>
                            </w:r>
                            <w:r w:rsidRPr="00812341">
                              <w:rPr>
                                <w:sz w:val="16"/>
                                <w:szCs w:val="16"/>
                              </w:rPr>
                              <w:fldChar w:fldCharType="begin"/>
                            </w:r>
                            <w:r w:rsidRPr="00812341">
                              <w:rPr>
                                <w:sz w:val="16"/>
                                <w:szCs w:val="16"/>
                              </w:rPr>
                              <w:instrText xml:space="preserve"> SEQ Figure \* ARABIC </w:instrText>
                            </w:r>
                            <w:r w:rsidRPr="00812341">
                              <w:rPr>
                                <w:sz w:val="16"/>
                                <w:szCs w:val="16"/>
                              </w:rPr>
                              <w:fldChar w:fldCharType="separate"/>
                            </w:r>
                            <w:r w:rsidR="00EF7DB1">
                              <w:rPr>
                                <w:noProof/>
                                <w:sz w:val="16"/>
                                <w:szCs w:val="16"/>
                              </w:rPr>
                              <w:t>1</w:t>
                            </w:r>
                            <w:r w:rsidRPr="00812341">
                              <w:rPr>
                                <w:sz w:val="16"/>
                                <w:szCs w:val="16"/>
                              </w:rPr>
                              <w:fldChar w:fldCharType="end"/>
                            </w:r>
                            <w:r w:rsidRPr="00812341">
                              <w:rPr>
                                <w:sz w:val="16"/>
                                <w:szCs w:val="16"/>
                              </w:rPr>
                              <w:t>: Transition diagram for agent-based model, where agents move between different health states</w:t>
                            </w:r>
                            <w:r>
                              <w:rPr>
                                <w:sz w:val="16"/>
                                <w:szCs w:val="16"/>
                              </w:rPr>
                              <w:t xml:space="preserve"> including Healthy, </w:t>
                            </w:r>
                            <w:r w:rsidR="008F02CE">
                              <w:rPr>
                                <w:sz w:val="16"/>
                                <w:szCs w:val="16"/>
                              </w:rPr>
                              <w:t>Infection, Cancer, and Deat</w:t>
                            </w:r>
                            <w:r w:rsidR="001F7CD0">
                              <w:rPr>
                                <w:sz w:val="16"/>
                                <w:szCs w:val="16"/>
                              </w:rPr>
                              <w:t>h through cycles of the simulation.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FB0695" id="_x0000_t202" coordsize="21600,21600" o:spt="202" path="m,l,21600r21600,l21600,xe">
                <v:stroke joinstyle="miter"/>
                <v:path gradientshapeok="t" o:connecttype="rect"/>
              </v:shapetype>
              <v:shape id="Text Box 1" o:spid="_x0000_s1026" type="#_x0000_t202" style="position:absolute;left:0;text-align:left;margin-left:357.65pt;margin-top:43.85pt;width:182.25pt;height:3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" stroked="f">
                <v:textbox inset="0,0,0,0">
                  <w:txbxContent>
                    <w:p w14:paraId="3AC06445" w14:textId="4AD18408" w:rsidR="00812341" w:rsidRPr="00812341" w:rsidRDefault="00812341" w:rsidP="00812341">
                      <w:pPr>
                        <w:pStyle w:val="Caption"/>
                        <w:rPr>
                          <w:sz w:val="16"/>
                          <w:szCs w:val="16"/>
                        </w:rPr>
                      </w:pPr>
                      <w:r w:rsidRPr="00812341">
                        <w:rPr>
                          <w:sz w:val="16"/>
                          <w:szCs w:val="16"/>
                        </w:rPr>
                        <w:t xml:space="preserve">Figure </w:t>
                      </w:r>
                      <w:r w:rsidRPr="00812341">
                        <w:rPr>
                          <w:sz w:val="16"/>
                          <w:szCs w:val="16"/>
                        </w:rPr>
                        <w:fldChar w:fldCharType="begin"/>
                      </w:r>
                      <w:r w:rsidRPr="00812341">
                        <w:rPr>
                          <w:sz w:val="16"/>
                          <w:szCs w:val="16"/>
                        </w:rPr>
                        <w:instrText xml:space="preserve"> SEQ Figure \* ARABIC </w:instrText>
                      </w:r>
                      <w:r w:rsidRPr="00812341">
                        <w:rPr>
                          <w:sz w:val="16"/>
                          <w:szCs w:val="16"/>
                        </w:rPr>
                        <w:fldChar w:fldCharType="separate"/>
                      </w:r>
                      <w:r w:rsidR="00EF7DB1">
                        <w:rPr>
                          <w:noProof/>
                          <w:sz w:val="16"/>
                          <w:szCs w:val="16"/>
                        </w:rPr>
                        <w:t>1</w:t>
                      </w:r>
                      <w:r w:rsidRPr="00812341">
                        <w:rPr>
                          <w:sz w:val="16"/>
                          <w:szCs w:val="16"/>
                        </w:rPr>
                        <w:fldChar w:fldCharType="end"/>
                      </w:r>
                      <w:r w:rsidRPr="00812341">
                        <w:rPr>
                          <w:sz w:val="16"/>
                          <w:szCs w:val="16"/>
                        </w:rPr>
                        <w:t>: Transition diagram for agent-based model, where agents move between different health states</w:t>
                      </w:r>
                      <w:r>
                        <w:rPr>
                          <w:sz w:val="16"/>
                          <w:szCs w:val="16"/>
                        </w:rPr>
                        <w:t xml:space="preserve"> including Healthy, </w:t>
                      </w:r>
                      <w:r w:rsidR="008F02CE">
                        <w:rPr>
                          <w:sz w:val="16"/>
                          <w:szCs w:val="16"/>
                        </w:rPr>
                        <w:t>Infection, Cancer, and Deat</w:t>
                      </w:r>
                      <w:r w:rsidR="001F7CD0">
                        <w:rPr>
                          <w:sz w:val="16"/>
                          <w:szCs w:val="16"/>
                        </w:rPr>
                        <w:t>h through cycles of the simulation.</w:t>
                      </w:r>
                    </w:p>
                  </w:txbxContent>
                </v:textbox>
                <w10:wrap type="tight"/>
              </v:shape>
            </w:pict>
          </mc:Fallback>
        </mc:AlternateContent>
      </w:r>
      <w:r w:rsidR="00DC7FA6" w:rsidRPr="006163C6">
        <w:rPr>
          <w:color w:val="000000"/>
          <w:sz w:val="22"/>
          <w:szCs w:val="22"/>
        </w:rPr>
        <w:t>Risk Factors: The model is designed to simulate how high-risk factors—such as smoking, MSM status, and infection history—make transitions to infection, persistent infection, and cancer more likely</w:t>
      </w:r>
      <w:r w:rsidR="003714FD" w:rsidRPr="006163C6">
        <w:rPr>
          <w:color w:val="000000"/>
          <w:sz w:val="22"/>
          <w:szCs w:val="22"/>
        </w:rPr>
        <w:t xml:space="preserve">. </w:t>
      </w:r>
    </w:p>
    <w:p w14:paraId="317C5F1F" w14:textId="4A472EAC" w:rsidR="002B5C34" w:rsidRPr="006163C6" w:rsidRDefault="002B5C34" w:rsidP="002B5C34">
      <w:pPr>
        <w:jc w:val="both"/>
        <w:rPr>
          <w:color w:val="000000"/>
          <w:sz w:val="22"/>
          <w:szCs w:val="22"/>
        </w:rPr>
      </w:pPr>
    </w:p>
    <w:p w14:paraId="210EB242" w14:textId="7367BD5A" w:rsidR="002B5C34" w:rsidRPr="006163C6" w:rsidRDefault="002B5C34" w:rsidP="002B5C34">
      <w:pPr>
        <w:jc w:val="both"/>
        <w:rPr>
          <w:color w:val="000000"/>
          <w:sz w:val="22"/>
          <w:szCs w:val="22"/>
        </w:rPr>
      </w:pPr>
      <w:r w:rsidRPr="006163C6">
        <w:rPr>
          <w:color w:val="000000"/>
          <w:sz w:val="22"/>
          <w:szCs w:val="22"/>
        </w:rPr>
        <w:t xml:space="preserve">The simulation model </w:t>
      </w:r>
      <w:r w:rsidRPr="006163C6">
        <w:rPr>
          <w:color w:val="000000"/>
          <w:sz w:val="22"/>
          <w:szCs w:val="22"/>
        </w:rPr>
        <w:t xml:space="preserve">is functional and can </w:t>
      </w:r>
      <w:r w:rsidRPr="006163C6">
        <w:rPr>
          <w:color w:val="000000"/>
          <w:sz w:val="22"/>
          <w:szCs w:val="22"/>
        </w:rPr>
        <w:t>achieve the goals of Aim 2</w:t>
      </w:r>
      <w:r w:rsidR="004F065C">
        <w:rPr>
          <w:color w:val="000000"/>
          <w:sz w:val="22"/>
          <w:szCs w:val="22"/>
        </w:rPr>
        <w:t xml:space="preserve">. </w:t>
      </w:r>
    </w:p>
    <w:p w14:paraId="6B48D2F0" w14:textId="5314733D" w:rsidR="002B5C34" w:rsidRPr="006163C6" w:rsidRDefault="006163C6" w:rsidP="002B5C34">
      <w:pPr>
        <w:pStyle w:val="ListParagraph"/>
        <w:numPr>
          <w:ilvl w:val="0"/>
          <w:numId w:val="2"/>
        </w:numPr>
        <w:jc w:val="both"/>
        <w:rPr>
          <w:color w:val="000000"/>
          <w:sz w:val="22"/>
          <w:szCs w:val="22"/>
        </w:rPr>
      </w:pPr>
      <w:r w:rsidRPr="006163C6">
        <w:rPr>
          <w:color w:val="000000"/>
          <w:sz w:val="22"/>
          <w:szCs w:val="22"/>
        </w:rPr>
        <w:drawing>
          <wp:anchor distT="0" distB="0" distL="114300" distR="114300" simplePos="0" relativeHeight="251661312" behindDoc="1" locked="0" layoutInCell="1" allowOverlap="1" wp14:anchorId="5EC5A8A5" wp14:editId="2501EAE1">
            <wp:simplePos x="0" y="0"/>
            <wp:positionH relativeFrom="margin">
              <wp:align>left</wp:align>
            </wp:positionH>
            <wp:positionV relativeFrom="paragraph">
              <wp:posOffset>297424</wp:posOffset>
            </wp:positionV>
            <wp:extent cx="5106035" cy="2299335"/>
            <wp:effectExtent l="12700" t="12700" r="12065" b="12065"/>
            <wp:wrapTight wrapText="bothSides">
              <wp:wrapPolygon edited="0">
                <wp:start x="-54" y="-119"/>
                <wp:lineTo x="-54" y="21594"/>
                <wp:lineTo x="21597" y="21594"/>
                <wp:lineTo x="21597" y="-119"/>
                <wp:lineTo x="-54" y="-119"/>
              </wp:wrapPolygon>
            </wp:wrapTight>
            <wp:docPr id="875559167" name="Picture 1"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59167" name="Picture 1" descr="A diagram of different colored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20342" cy="239558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2B5C34" w:rsidRPr="006163C6">
        <w:rPr>
          <w:color w:val="000000"/>
          <w:sz w:val="22"/>
          <w:szCs w:val="22"/>
        </w:rPr>
        <w:t xml:space="preserve">Cost Analysis: The model tracks key </w:t>
      </w:r>
      <w:r>
        <w:rPr>
          <w:color w:val="000000"/>
          <w:sz w:val="22"/>
          <w:szCs w:val="22"/>
        </w:rPr>
        <w:t>outcomes</w:t>
      </w:r>
      <w:r w:rsidR="002B5C34" w:rsidRPr="006163C6">
        <w:rPr>
          <w:color w:val="000000"/>
          <w:sz w:val="22"/>
          <w:szCs w:val="22"/>
        </w:rPr>
        <w:t xml:space="preserve"> associated with each scenario, including vaccination costs, OPC treatment costs, and long-term care costs.</w:t>
      </w:r>
    </w:p>
    <w:p w14:paraId="39AAC0A4" w14:textId="1CCDF203" w:rsidR="002B5C34" w:rsidRPr="006163C6" w:rsidRDefault="002B5C34" w:rsidP="002B5C34">
      <w:pPr>
        <w:pStyle w:val="ListParagraph"/>
        <w:numPr>
          <w:ilvl w:val="0"/>
          <w:numId w:val="2"/>
        </w:numPr>
        <w:jc w:val="both"/>
        <w:rPr>
          <w:color w:val="000000"/>
          <w:sz w:val="22"/>
          <w:szCs w:val="22"/>
        </w:rPr>
      </w:pPr>
      <w:r w:rsidRPr="006163C6">
        <w:rPr>
          <w:color w:val="000000"/>
          <w:sz w:val="22"/>
          <w:szCs w:val="22"/>
        </w:rPr>
        <w:t>Scenario Comparison: As specified in Aim 2, the model is configured to run simulations comparing</w:t>
      </w:r>
      <w:r w:rsidR="006163C6">
        <w:rPr>
          <w:color w:val="000000"/>
          <w:sz w:val="22"/>
          <w:szCs w:val="22"/>
        </w:rPr>
        <w:t xml:space="preserve"> outcomes for </w:t>
      </w:r>
      <w:r w:rsidR="006163C6" w:rsidRPr="006163C6">
        <w:rPr>
          <w:color w:val="000000"/>
          <w:sz w:val="22"/>
          <w:szCs w:val="22"/>
        </w:rPr>
        <w:t>different</w:t>
      </w:r>
      <w:r w:rsidRPr="006163C6">
        <w:rPr>
          <w:color w:val="000000"/>
          <w:sz w:val="22"/>
          <w:szCs w:val="22"/>
        </w:rPr>
        <w:t xml:space="preserve"> vaccination age caps</w:t>
      </w:r>
      <w:r w:rsidR="006163C6">
        <w:rPr>
          <w:color w:val="000000"/>
          <w:sz w:val="22"/>
          <w:szCs w:val="22"/>
        </w:rPr>
        <w:t>, namely:</w:t>
      </w:r>
      <w:r w:rsidRPr="006163C6">
        <w:rPr>
          <w:color w:val="000000"/>
          <w:sz w:val="22"/>
          <w:szCs w:val="22"/>
        </w:rPr>
        <w:t xml:space="preserve"> 26, 30, 35, 40, and 45</w:t>
      </w:r>
      <w:r w:rsidRPr="006163C6">
        <w:rPr>
          <w:color w:val="000000"/>
          <w:sz w:val="22"/>
          <w:szCs w:val="22"/>
        </w:rPr>
        <w:t>.</w:t>
      </w:r>
    </w:p>
    <w:p w14:paraId="4B487EBA" w14:textId="10090BAA" w:rsidR="002B5C34" w:rsidRDefault="00EF7DB1" w:rsidP="002B5C34">
      <w:pPr>
        <w:pStyle w:val="ListParagraph"/>
        <w:numPr>
          <w:ilvl w:val="0"/>
          <w:numId w:val="2"/>
        </w:numPr>
        <w:jc w:val="both"/>
        <w:rPr>
          <w:color w:val="000000"/>
          <w:sz w:val="22"/>
          <w:szCs w:val="22"/>
        </w:rPr>
      </w:pPr>
      <w:r>
        <w:rPr>
          <w:noProof/>
        </w:rPr>
        <mc:AlternateContent>
          <mc:Choice Requires="wps">
            <w:drawing>
              <wp:anchor distT="0" distB="0" distL="114300" distR="114300" simplePos="0" relativeHeight="251663360" behindDoc="1" locked="0" layoutInCell="1" allowOverlap="1" wp14:anchorId="4B999DB6" wp14:editId="1EFD7FF0">
                <wp:simplePos x="0" y="0"/>
                <wp:positionH relativeFrom="column">
                  <wp:posOffset>13970</wp:posOffset>
                </wp:positionH>
                <wp:positionV relativeFrom="paragraph">
                  <wp:posOffset>735965</wp:posOffset>
                </wp:positionV>
                <wp:extent cx="5104130" cy="281305"/>
                <wp:effectExtent l="0" t="0" r="1270" b="0"/>
                <wp:wrapTight wrapText="bothSides">
                  <wp:wrapPolygon edited="0">
                    <wp:start x="0" y="0"/>
                    <wp:lineTo x="0" y="20479"/>
                    <wp:lineTo x="21552" y="20479"/>
                    <wp:lineTo x="21552" y="0"/>
                    <wp:lineTo x="0" y="0"/>
                  </wp:wrapPolygon>
                </wp:wrapTight>
                <wp:docPr id="807226679" name="Text Box 1"/>
                <wp:cNvGraphicFramePr/>
                <a:graphic xmlns:a="http://schemas.openxmlformats.org/drawingml/2006/main">
                  <a:graphicData uri="http://schemas.microsoft.com/office/word/2010/wordprocessingShape">
                    <wps:wsp>
                      <wps:cNvSpPr txBox="1"/>
                      <wps:spPr>
                        <a:xfrm>
                          <a:off x="0" y="0"/>
                          <a:ext cx="5104130" cy="281305"/>
                        </a:xfrm>
                        <a:prstGeom prst="rect">
                          <a:avLst/>
                        </a:prstGeom>
                        <a:solidFill>
                          <a:prstClr val="white"/>
                        </a:solidFill>
                        <a:ln>
                          <a:noFill/>
                        </a:ln>
                      </wps:spPr>
                      <wps:txbx>
                        <w:txbxContent>
                          <w:p w14:paraId="2952CBE7" w14:textId="72759B17" w:rsidR="00EF7DB1" w:rsidRPr="00FA4D16" w:rsidRDefault="00EF7DB1" w:rsidP="00EF7DB1">
                            <w:pPr>
                              <w:pStyle w:val="Caption"/>
                              <w:rPr>
                                <w:color w:val="000000"/>
                                <w:sz w:val="16"/>
                                <w:szCs w:val="16"/>
                              </w:rPr>
                            </w:pPr>
                            <w:r w:rsidRPr="00FA4D16">
                              <w:rPr>
                                <w:sz w:val="16"/>
                                <w:szCs w:val="16"/>
                              </w:rPr>
                              <w:t xml:space="preserve">Figure </w:t>
                            </w:r>
                            <w:r w:rsidRPr="00FA4D16">
                              <w:rPr>
                                <w:sz w:val="16"/>
                                <w:szCs w:val="16"/>
                              </w:rPr>
                              <w:fldChar w:fldCharType="begin"/>
                            </w:r>
                            <w:r w:rsidRPr="00FA4D16">
                              <w:rPr>
                                <w:sz w:val="16"/>
                                <w:szCs w:val="16"/>
                              </w:rPr>
                              <w:instrText xml:space="preserve"> SEQ Figure \* ARABIC </w:instrText>
                            </w:r>
                            <w:r w:rsidRPr="00FA4D16">
                              <w:rPr>
                                <w:sz w:val="16"/>
                                <w:szCs w:val="16"/>
                              </w:rPr>
                              <w:fldChar w:fldCharType="separate"/>
                            </w:r>
                            <w:r w:rsidRPr="00FA4D16">
                              <w:rPr>
                                <w:noProof/>
                                <w:sz w:val="16"/>
                                <w:szCs w:val="16"/>
                              </w:rPr>
                              <w:t>2</w:t>
                            </w:r>
                            <w:r w:rsidRPr="00FA4D16">
                              <w:rPr>
                                <w:sz w:val="16"/>
                                <w:szCs w:val="16"/>
                              </w:rPr>
                              <w:fldChar w:fldCharType="end"/>
                            </w:r>
                            <w:r w:rsidRPr="00FA4D16">
                              <w:rPr>
                                <w:sz w:val="16"/>
                                <w:szCs w:val="16"/>
                              </w:rPr>
                              <w:t>: Model outputs comparing cumulative OPC cases, OPC deaths, and total costs by vaccination age cap. The simulation compares five policy scenarios (age caps 26, 30, 35, 40, and 45) for a cohort of 10,000 agents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99DB6" id="_x0000_s1027" type="#_x0000_t202" style="position:absolute;left:0;text-align:left;margin-left:1.1pt;margin-top:57.95pt;width:401.9pt;height:22.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" stroked="f">
                <v:textbox inset="0,0,0,0">
                  <w:txbxContent>
                    <w:p w14:paraId="2952CBE7" w14:textId="72759B17" w:rsidR="00EF7DB1" w:rsidRPr="00FA4D16" w:rsidRDefault="00EF7DB1" w:rsidP="00EF7DB1">
                      <w:pPr>
                        <w:pStyle w:val="Caption"/>
                        <w:rPr>
                          <w:color w:val="000000"/>
                          <w:sz w:val="16"/>
                          <w:szCs w:val="16"/>
                        </w:rPr>
                      </w:pPr>
                      <w:r w:rsidRPr="00FA4D16">
                        <w:rPr>
                          <w:sz w:val="16"/>
                          <w:szCs w:val="16"/>
                        </w:rPr>
                        <w:t xml:space="preserve">Figure </w:t>
                      </w:r>
                      <w:r w:rsidRPr="00FA4D16">
                        <w:rPr>
                          <w:sz w:val="16"/>
                          <w:szCs w:val="16"/>
                        </w:rPr>
                        <w:fldChar w:fldCharType="begin"/>
                      </w:r>
                      <w:r w:rsidRPr="00FA4D16">
                        <w:rPr>
                          <w:sz w:val="16"/>
                          <w:szCs w:val="16"/>
                        </w:rPr>
                        <w:instrText xml:space="preserve"> SEQ Figure \* ARABIC </w:instrText>
                      </w:r>
                      <w:r w:rsidRPr="00FA4D16">
                        <w:rPr>
                          <w:sz w:val="16"/>
                          <w:szCs w:val="16"/>
                        </w:rPr>
                        <w:fldChar w:fldCharType="separate"/>
                      </w:r>
                      <w:r w:rsidRPr="00FA4D16">
                        <w:rPr>
                          <w:noProof/>
                          <w:sz w:val="16"/>
                          <w:szCs w:val="16"/>
                        </w:rPr>
                        <w:t>2</w:t>
                      </w:r>
                      <w:r w:rsidRPr="00FA4D16">
                        <w:rPr>
                          <w:sz w:val="16"/>
                          <w:szCs w:val="16"/>
                        </w:rPr>
                        <w:fldChar w:fldCharType="end"/>
                      </w:r>
                      <w:r w:rsidRPr="00FA4D16">
                        <w:rPr>
                          <w:sz w:val="16"/>
                          <w:szCs w:val="16"/>
                        </w:rPr>
                        <w:t>: Model outputs comparing cumulative OPC cases, OPC deaths, and total costs by vaccination age cap. The simulation compares five policy scenarios (age caps 26, 30, 35, 40, and 45) for a cohort of 10,000 agents</w:t>
                      </w:r>
                    </w:p>
                  </w:txbxContent>
                </v:textbox>
                <w10:wrap type="tight"/>
              </v:shape>
            </w:pict>
          </mc:Fallback>
        </mc:AlternateContent>
      </w:r>
      <w:r w:rsidR="002B5C34" w:rsidRPr="006163C6">
        <w:rPr>
          <w:color w:val="000000"/>
          <w:sz w:val="22"/>
          <w:szCs w:val="22"/>
        </w:rPr>
        <w:t xml:space="preserve">Visualization &amp; Initial Results: </w:t>
      </w:r>
      <w:r w:rsidR="004F065C">
        <w:rPr>
          <w:color w:val="000000"/>
          <w:sz w:val="22"/>
          <w:szCs w:val="22"/>
        </w:rPr>
        <w:t>As a proof-of concept</w:t>
      </w:r>
      <w:r w:rsidR="004F065C">
        <w:rPr>
          <w:color w:val="000000"/>
          <w:sz w:val="22"/>
          <w:szCs w:val="22"/>
        </w:rPr>
        <w:t>. w</w:t>
      </w:r>
      <w:r w:rsidR="002B5C34" w:rsidRPr="006163C6">
        <w:rPr>
          <w:color w:val="000000"/>
          <w:sz w:val="22"/>
          <w:szCs w:val="22"/>
        </w:rPr>
        <w:t>e have generated preliminary visualizations from a simulated cohort of 10,000 agents</w:t>
      </w:r>
      <w:r w:rsidR="007C1947" w:rsidRPr="006163C6">
        <w:rPr>
          <w:color w:val="000000"/>
          <w:sz w:val="22"/>
          <w:szCs w:val="22"/>
        </w:rPr>
        <w:t xml:space="preserve"> (see Figure 2)</w:t>
      </w:r>
      <w:r w:rsidR="002B5C34" w:rsidRPr="006163C6">
        <w:rPr>
          <w:color w:val="000000"/>
          <w:sz w:val="22"/>
          <w:szCs w:val="22"/>
        </w:rPr>
        <w:t>. These plots show the Cumulative OPC Cases</w:t>
      </w:r>
      <w:r w:rsidR="00A86A93" w:rsidRPr="006163C6">
        <w:rPr>
          <w:color w:val="000000"/>
          <w:sz w:val="22"/>
          <w:szCs w:val="22"/>
        </w:rPr>
        <w:t xml:space="preserve"> (</w:t>
      </w:r>
      <w:r w:rsidR="007C1947" w:rsidRPr="006163C6">
        <w:rPr>
          <w:color w:val="000000"/>
          <w:sz w:val="22"/>
          <w:szCs w:val="22"/>
        </w:rPr>
        <w:t>top left</w:t>
      </w:r>
      <w:r w:rsidR="00A86A93" w:rsidRPr="006163C6">
        <w:rPr>
          <w:color w:val="000000"/>
          <w:sz w:val="22"/>
          <w:szCs w:val="22"/>
        </w:rPr>
        <w:t>)</w:t>
      </w:r>
      <w:r w:rsidR="002B5C34" w:rsidRPr="006163C6">
        <w:rPr>
          <w:color w:val="000000"/>
          <w:sz w:val="22"/>
          <w:szCs w:val="22"/>
        </w:rPr>
        <w:t>, Cumulative OPC Deaths</w:t>
      </w:r>
      <w:r w:rsidR="007C1947" w:rsidRPr="006163C6">
        <w:rPr>
          <w:color w:val="000000"/>
          <w:sz w:val="22"/>
          <w:szCs w:val="22"/>
        </w:rPr>
        <w:t xml:space="preserve"> (bottom left)</w:t>
      </w:r>
      <w:r w:rsidR="002B5C34" w:rsidRPr="006163C6">
        <w:rPr>
          <w:color w:val="000000"/>
          <w:sz w:val="22"/>
          <w:szCs w:val="22"/>
        </w:rPr>
        <w:t>, and Cumulative Total Costs</w:t>
      </w:r>
      <w:r w:rsidR="00A86A93" w:rsidRPr="006163C6">
        <w:rPr>
          <w:color w:val="000000"/>
          <w:sz w:val="22"/>
          <w:szCs w:val="22"/>
        </w:rPr>
        <w:t xml:space="preserve"> (</w:t>
      </w:r>
      <w:r w:rsidR="007C1947" w:rsidRPr="006163C6">
        <w:rPr>
          <w:color w:val="000000"/>
          <w:sz w:val="22"/>
          <w:szCs w:val="22"/>
        </w:rPr>
        <w:t>right</w:t>
      </w:r>
      <w:r w:rsidR="00A86A93" w:rsidRPr="006163C6">
        <w:rPr>
          <w:color w:val="000000"/>
          <w:sz w:val="22"/>
          <w:szCs w:val="22"/>
        </w:rPr>
        <w:t>)</w:t>
      </w:r>
      <w:r w:rsidR="002B5C34" w:rsidRPr="006163C6">
        <w:rPr>
          <w:color w:val="000000"/>
          <w:sz w:val="22"/>
          <w:szCs w:val="22"/>
        </w:rPr>
        <w:t xml:space="preserve"> over the simulation period, stratified by the different </w:t>
      </w:r>
      <w:r w:rsidR="00835F72" w:rsidRPr="006163C6">
        <w:rPr>
          <w:color w:val="000000"/>
          <w:sz w:val="22"/>
          <w:szCs w:val="22"/>
        </w:rPr>
        <w:t xml:space="preserve">vaccination age </w:t>
      </w:r>
      <w:r w:rsidR="002B5C34" w:rsidRPr="006163C6">
        <w:rPr>
          <w:color w:val="000000"/>
          <w:sz w:val="22"/>
          <w:szCs w:val="22"/>
        </w:rPr>
        <w:t>caps</w:t>
      </w:r>
      <w:r w:rsidR="00835F72" w:rsidRPr="006163C6">
        <w:rPr>
          <w:color w:val="000000"/>
          <w:sz w:val="22"/>
          <w:szCs w:val="22"/>
        </w:rPr>
        <w:t xml:space="preserve">. </w:t>
      </w:r>
    </w:p>
    <w:p w14:paraId="769F6E28" w14:textId="77777777" w:rsidR="00FF54C6" w:rsidRPr="00FF54C6" w:rsidRDefault="00FF54C6" w:rsidP="00FF54C6">
      <w:pPr>
        <w:jc w:val="both"/>
        <w:rPr>
          <w:color w:val="000000"/>
          <w:sz w:val="22"/>
          <w:szCs w:val="22"/>
        </w:rPr>
      </w:pPr>
    </w:p>
    <w:p w14:paraId="730ACF6D" w14:textId="5AFD8854" w:rsidR="007E25F2" w:rsidRPr="007E25F2" w:rsidRDefault="007E25F2" w:rsidP="007E25F2">
      <w:pPr>
        <w:jc w:val="both"/>
        <w:rPr>
          <w:color w:val="000000"/>
          <w:sz w:val="22"/>
          <w:szCs w:val="22"/>
        </w:rPr>
      </w:pPr>
      <w:r>
        <w:rPr>
          <w:color w:val="000000"/>
          <w:sz w:val="22"/>
          <w:szCs w:val="22"/>
        </w:rPr>
        <w:t>Next, we will</w:t>
      </w:r>
      <w:r w:rsidRPr="007E25F2">
        <w:rPr>
          <w:color w:val="000000"/>
          <w:sz w:val="22"/>
          <w:szCs w:val="22"/>
        </w:rPr>
        <w:t xml:space="preserve"> calibrate this model with real VHA data.</w:t>
      </w:r>
      <w:r>
        <w:rPr>
          <w:color w:val="000000"/>
          <w:sz w:val="22"/>
          <w:szCs w:val="22"/>
        </w:rPr>
        <w:t xml:space="preserve"> </w:t>
      </w:r>
      <w:r w:rsidRPr="007E25F2">
        <w:rPr>
          <w:color w:val="000000"/>
          <w:sz w:val="22"/>
          <w:szCs w:val="22"/>
        </w:rPr>
        <w:t>This calibration will involve integrating data on:</w:t>
      </w:r>
    </w:p>
    <w:p w14:paraId="0DE0BC4F" w14:textId="11CFB1A2" w:rsidR="007E25F2" w:rsidRPr="007E25F2" w:rsidRDefault="007E25F2" w:rsidP="007E25F2">
      <w:pPr>
        <w:pStyle w:val="ListParagraph"/>
        <w:numPr>
          <w:ilvl w:val="0"/>
          <w:numId w:val="3"/>
        </w:numPr>
        <w:jc w:val="both"/>
        <w:rPr>
          <w:color w:val="000000"/>
          <w:sz w:val="22"/>
          <w:szCs w:val="22"/>
        </w:rPr>
      </w:pPr>
      <w:r w:rsidRPr="007E25F2">
        <w:rPr>
          <w:color w:val="000000"/>
          <w:sz w:val="22"/>
          <w:szCs w:val="22"/>
        </w:rPr>
        <w:t xml:space="preserve">Age distribution of Veterans </w:t>
      </w:r>
    </w:p>
    <w:p w14:paraId="2EE1152F" w14:textId="77707073" w:rsidR="007E25F2" w:rsidRPr="007E25F2" w:rsidRDefault="007E25F2" w:rsidP="007E25F2">
      <w:pPr>
        <w:pStyle w:val="ListParagraph"/>
        <w:numPr>
          <w:ilvl w:val="0"/>
          <w:numId w:val="3"/>
        </w:numPr>
        <w:jc w:val="both"/>
        <w:rPr>
          <w:color w:val="000000"/>
          <w:sz w:val="22"/>
          <w:szCs w:val="22"/>
        </w:rPr>
      </w:pPr>
      <w:r w:rsidRPr="007E25F2">
        <w:rPr>
          <w:color w:val="000000"/>
          <w:sz w:val="22"/>
          <w:szCs w:val="22"/>
        </w:rPr>
        <w:t xml:space="preserve">Smoking prevalence </w:t>
      </w:r>
    </w:p>
    <w:p w14:paraId="06CC252E" w14:textId="5253EBC4" w:rsidR="007E25F2" w:rsidRPr="007E25F2" w:rsidRDefault="007E25F2" w:rsidP="007E25F2">
      <w:pPr>
        <w:pStyle w:val="ListParagraph"/>
        <w:numPr>
          <w:ilvl w:val="0"/>
          <w:numId w:val="3"/>
        </w:numPr>
        <w:jc w:val="both"/>
        <w:rPr>
          <w:color w:val="000000"/>
          <w:sz w:val="22"/>
          <w:szCs w:val="22"/>
        </w:rPr>
      </w:pPr>
      <w:r w:rsidRPr="007E25F2">
        <w:rPr>
          <w:color w:val="000000"/>
          <w:sz w:val="22"/>
          <w:szCs w:val="22"/>
        </w:rPr>
        <w:t xml:space="preserve">Vaccination uptake rates by age </w:t>
      </w:r>
    </w:p>
    <w:p w14:paraId="00BE5ABD" w14:textId="60F78C70" w:rsidR="007E25F2" w:rsidRPr="007E25F2" w:rsidRDefault="007E25F2" w:rsidP="007E25F2">
      <w:pPr>
        <w:pStyle w:val="ListParagraph"/>
        <w:numPr>
          <w:ilvl w:val="0"/>
          <w:numId w:val="3"/>
        </w:numPr>
        <w:jc w:val="both"/>
        <w:rPr>
          <w:color w:val="000000"/>
          <w:sz w:val="22"/>
          <w:szCs w:val="22"/>
        </w:rPr>
      </w:pPr>
      <w:r w:rsidRPr="007E25F2">
        <w:rPr>
          <w:color w:val="000000"/>
          <w:sz w:val="22"/>
          <w:szCs w:val="22"/>
        </w:rPr>
        <w:t xml:space="preserve">HPV prevalence </w:t>
      </w:r>
    </w:p>
    <w:p w14:paraId="50A4CC57" w14:textId="1EA1C148" w:rsidR="007E25F2" w:rsidRPr="007E25F2" w:rsidRDefault="007E25F2" w:rsidP="007E25F2">
      <w:pPr>
        <w:pStyle w:val="ListParagraph"/>
        <w:numPr>
          <w:ilvl w:val="0"/>
          <w:numId w:val="3"/>
        </w:numPr>
        <w:jc w:val="both"/>
        <w:rPr>
          <w:color w:val="000000"/>
          <w:sz w:val="22"/>
          <w:szCs w:val="22"/>
        </w:rPr>
      </w:pPr>
      <w:r w:rsidRPr="007E25F2">
        <w:rPr>
          <w:color w:val="000000"/>
          <w:sz w:val="22"/>
          <w:szCs w:val="22"/>
        </w:rPr>
        <w:t xml:space="preserve">Mortality rates </w:t>
      </w:r>
    </w:p>
    <w:p w14:paraId="7C165019" w14:textId="498D874B" w:rsidR="007E25F2" w:rsidRPr="004F065C" w:rsidRDefault="007E25F2" w:rsidP="007E25F2">
      <w:pPr>
        <w:pStyle w:val="ListParagraph"/>
        <w:numPr>
          <w:ilvl w:val="0"/>
          <w:numId w:val="3"/>
        </w:numPr>
        <w:jc w:val="both"/>
        <w:rPr>
          <w:color w:val="000000"/>
          <w:sz w:val="22"/>
          <w:szCs w:val="22"/>
        </w:rPr>
      </w:pPr>
      <w:r w:rsidRPr="007E25F2">
        <w:rPr>
          <w:color w:val="000000"/>
          <w:sz w:val="22"/>
          <w:szCs w:val="22"/>
        </w:rPr>
        <w:t xml:space="preserve">Actual VHA costs for vaccination and OPC treatment </w:t>
      </w:r>
    </w:p>
    <w:p w14:paraId="718A78E6" w14:textId="558C26E1" w:rsidR="00FF54C6" w:rsidRPr="00FF54C6" w:rsidRDefault="007E25F2" w:rsidP="007E25F2">
      <w:pPr>
        <w:jc w:val="both"/>
        <w:rPr>
          <w:color w:val="000000"/>
          <w:sz w:val="22"/>
          <w:szCs w:val="22"/>
        </w:rPr>
      </w:pPr>
      <w:r w:rsidRPr="007E25F2">
        <w:rPr>
          <w:color w:val="000000"/>
          <w:sz w:val="22"/>
          <w:szCs w:val="22"/>
        </w:rPr>
        <w:t>For parameters where VHA-specific data may be unavailable, we will use national data</w:t>
      </w:r>
    </w:p>
    <w:sectPr w:rsidR="00FF54C6" w:rsidRPr="00FF54C6" w:rsidSect="006163C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2EC2"/>
    <w:multiLevelType w:val="hybridMultilevel"/>
    <w:tmpl w:val="24C63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0D7BE0"/>
    <w:multiLevelType w:val="hybridMultilevel"/>
    <w:tmpl w:val="0CC64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9F33D6"/>
    <w:multiLevelType w:val="hybridMultilevel"/>
    <w:tmpl w:val="B53A0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1361646">
    <w:abstractNumId w:val="0"/>
  </w:num>
  <w:num w:numId="2" w16cid:durableId="1074209011">
    <w:abstractNumId w:val="2"/>
  </w:num>
  <w:num w:numId="3" w16cid:durableId="1913352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807"/>
    <w:rsid w:val="0000208C"/>
    <w:rsid w:val="00003A2D"/>
    <w:rsid w:val="0000582B"/>
    <w:rsid w:val="00011439"/>
    <w:rsid w:val="00014581"/>
    <w:rsid w:val="00026238"/>
    <w:rsid w:val="000317D8"/>
    <w:rsid w:val="00033763"/>
    <w:rsid w:val="00036198"/>
    <w:rsid w:val="00044624"/>
    <w:rsid w:val="00046B58"/>
    <w:rsid w:val="000544B6"/>
    <w:rsid w:val="00070665"/>
    <w:rsid w:val="0007423F"/>
    <w:rsid w:val="00074EF2"/>
    <w:rsid w:val="000768E5"/>
    <w:rsid w:val="00077C16"/>
    <w:rsid w:val="000830A6"/>
    <w:rsid w:val="00092243"/>
    <w:rsid w:val="0009266E"/>
    <w:rsid w:val="00093C18"/>
    <w:rsid w:val="00094A07"/>
    <w:rsid w:val="000A3A50"/>
    <w:rsid w:val="000C5D84"/>
    <w:rsid w:val="000C69FF"/>
    <w:rsid w:val="000D3EBF"/>
    <w:rsid w:val="000D4936"/>
    <w:rsid w:val="000F2B0B"/>
    <w:rsid w:val="000F3E9D"/>
    <w:rsid w:val="00100C2B"/>
    <w:rsid w:val="00120676"/>
    <w:rsid w:val="00122AE7"/>
    <w:rsid w:val="00123044"/>
    <w:rsid w:val="00130D0F"/>
    <w:rsid w:val="001355B7"/>
    <w:rsid w:val="001362E9"/>
    <w:rsid w:val="00136EA8"/>
    <w:rsid w:val="001372F4"/>
    <w:rsid w:val="00140E12"/>
    <w:rsid w:val="00142F6A"/>
    <w:rsid w:val="0017248F"/>
    <w:rsid w:val="00172622"/>
    <w:rsid w:val="001804F8"/>
    <w:rsid w:val="00181E8B"/>
    <w:rsid w:val="00192042"/>
    <w:rsid w:val="001A6D0E"/>
    <w:rsid w:val="001A78AF"/>
    <w:rsid w:val="001B46A8"/>
    <w:rsid w:val="001C1B76"/>
    <w:rsid w:val="001C5D00"/>
    <w:rsid w:val="001D7307"/>
    <w:rsid w:val="001F2781"/>
    <w:rsid w:val="001F7CD0"/>
    <w:rsid w:val="00202214"/>
    <w:rsid w:val="00206B7B"/>
    <w:rsid w:val="00206E9B"/>
    <w:rsid w:val="00207472"/>
    <w:rsid w:val="00220D24"/>
    <w:rsid w:val="0023089D"/>
    <w:rsid w:val="00241845"/>
    <w:rsid w:val="00247026"/>
    <w:rsid w:val="002551FE"/>
    <w:rsid w:val="00265647"/>
    <w:rsid w:val="0027522D"/>
    <w:rsid w:val="00280152"/>
    <w:rsid w:val="00282130"/>
    <w:rsid w:val="002A0D33"/>
    <w:rsid w:val="002A5C43"/>
    <w:rsid w:val="002B0F5B"/>
    <w:rsid w:val="002B4837"/>
    <w:rsid w:val="002B5C34"/>
    <w:rsid w:val="002C6BAE"/>
    <w:rsid w:val="002D3118"/>
    <w:rsid w:val="002D628E"/>
    <w:rsid w:val="002E0A2D"/>
    <w:rsid w:val="002E0D53"/>
    <w:rsid w:val="0030570A"/>
    <w:rsid w:val="00323D57"/>
    <w:rsid w:val="00331257"/>
    <w:rsid w:val="00336FB1"/>
    <w:rsid w:val="003376DD"/>
    <w:rsid w:val="00351C18"/>
    <w:rsid w:val="0036164E"/>
    <w:rsid w:val="00361F8C"/>
    <w:rsid w:val="0036255A"/>
    <w:rsid w:val="003714FD"/>
    <w:rsid w:val="003A0228"/>
    <w:rsid w:val="003A4213"/>
    <w:rsid w:val="003A7501"/>
    <w:rsid w:val="003C3D76"/>
    <w:rsid w:val="003C495C"/>
    <w:rsid w:val="003C79CE"/>
    <w:rsid w:val="003D3B8E"/>
    <w:rsid w:val="003D6905"/>
    <w:rsid w:val="003D6AF1"/>
    <w:rsid w:val="003E48E3"/>
    <w:rsid w:val="003E6068"/>
    <w:rsid w:val="00411C40"/>
    <w:rsid w:val="00414218"/>
    <w:rsid w:val="00425457"/>
    <w:rsid w:val="00425992"/>
    <w:rsid w:val="00430D71"/>
    <w:rsid w:val="004356BD"/>
    <w:rsid w:val="00442910"/>
    <w:rsid w:val="004522DC"/>
    <w:rsid w:val="004619F1"/>
    <w:rsid w:val="00461BE8"/>
    <w:rsid w:val="00466A01"/>
    <w:rsid w:val="00485713"/>
    <w:rsid w:val="00486BE5"/>
    <w:rsid w:val="004B0849"/>
    <w:rsid w:val="004B6B7A"/>
    <w:rsid w:val="004B6EC0"/>
    <w:rsid w:val="004E2E75"/>
    <w:rsid w:val="004E392A"/>
    <w:rsid w:val="004F065C"/>
    <w:rsid w:val="004F3938"/>
    <w:rsid w:val="004F4004"/>
    <w:rsid w:val="005030C5"/>
    <w:rsid w:val="005143D3"/>
    <w:rsid w:val="00514C4C"/>
    <w:rsid w:val="005324DD"/>
    <w:rsid w:val="00552B77"/>
    <w:rsid w:val="0056567A"/>
    <w:rsid w:val="00571500"/>
    <w:rsid w:val="005810CD"/>
    <w:rsid w:val="00583DAF"/>
    <w:rsid w:val="00595DA4"/>
    <w:rsid w:val="005C53DA"/>
    <w:rsid w:val="005C5B23"/>
    <w:rsid w:val="005D3128"/>
    <w:rsid w:val="006032D3"/>
    <w:rsid w:val="00605583"/>
    <w:rsid w:val="006163C6"/>
    <w:rsid w:val="00622EA9"/>
    <w:rsid w:val="0064192D"/>
    <w:rsid w:val="0065464F"/>
    <w:rsid w:val="006721C5"/>
    <w:rsid w:val="0068507E"/>
    <w:rsid w:val="006A1F0F"/>
    <w:rsid w:val="006A34E1"/>
    <w:rsid w:val="006C421E"/>
    <w:rsid w:val="006D56BB"/>
    <w:rsid w:val="006E360B"/>
    <w:rsid w:val="006F4978"/>
    <w:rsid w:val="006F6978"/>
    <w:rsid w:val="0073091E"/>
    <w:rsid w:val="00732CC1"/>
    <w:rsid w:val="00760D1B"/>
    <w:rsid w:val="00767BE6"/>
    <w:rsid w:val="0077231D"/>
    <w:rsid w:val="00785301"/>
    <w:rsid w:val="007B329F"/>
    <w:rsid w:val="007B5242"/>
    <w:rsid w:val="007C1947"/>
    <w:rsid w:val="007D61CD"/>
    <w:rsid w:val="007E25F2"/>
    <w:rsid w:val="007E2B13"/>
    <w:rsid w:val="00800325"/>
    <w:rsid w:val="00803C48"/>
    <w:rsid w:val="008059FF"/>
    <w:rsid w:val="00812341"/>
    <w:rsid w:val="0083117E"/>
    <w:rsid w:val="00835F72"/>
    <w:rsid w:val="00854807"/>
    <w:rsid w:val="00854AD8"/>
    <w:rsid w:val="00855B36"/>
    <w:rsid w:val="008726B8"/>
    <w:rsid w:val="008A201E"/>
    <w:rsid w:val="008B19DF"/>
    <w:rsid w:val="008C153A"/>
    <w:rsid w:val="008C524A"/>
    <w:rsid w:val="008D7A19"/>
    <w:rsid w:val="008E23D0"/>
    <w:rsid w:val="008F02CE"/>
    <w:rsid w:val="008F792E"/>
    <w:rsid w:val="00903E65"/>
    <w:rsid w:val="00904E0F"/>
    <w:rsid w:val="0090611A"/>
    <w:rsid w:val="00912B5F"/>
    <w:rsid w:val="00916873"/>
    <w:rsid w:val="00935BEE"/>
    <w:rsid w:val="00940123"/>
    <w:rsid w:val="0094440F"/>
    <w:rsid w:val="00944507"/>
    <w:rsid w:val="00946BAA"/>
    <w:rsid w:val="0095480A"/>
    <w:rsid w:val="009559D8"/>
    <w:rsid w:val="00965867"/>
    <w:rsid w:val="00980710"/>
    <w:rsid w:val="009858B9"/>
    <w:rsid w:val="00991F68"/>
    <w:rsid w:val="0099463E"/>
    <w:rsid w:val="009B4CB0"/>
    <w:rsid w:val="009C47D5"/>
    <w:rsid w:val="009C765A"/>
    <w:rsid w:val="009D1C06"/>
    <w:rsid w:val="009E2138"/>
    <w:rsid w:val="009F3516"/>
    <w:rsid w:val="009F635A"/>
    <w:rsid w:val="00A01907"/>
    <w:rsid w:val="00A03D5A"/>
    <w:rsid w:val="00A15066"/>
    <w:rsid w:val="00A174E9"/>
    <w:rsid w:val="00A262FF"/>
    <w:rsid w:val="00A274DF"/>
    <w:rsid w:val="00A31E51"/>
    <w:rsid w:val="00A338C1"/>
    <w:rsid w:val="00A41CE8"/>
    <w:rsid w:val="00A42AB8"/>
    <w:rsid w:val="00A56B16"/>
    <w:rsid w:val="00A704C8"/>
    <w:rsid w:val="00A732AA"/>
    <w:rsid w:val="00A73375"/>
    <w:rsid w:val="00A86A93"/>
    <w:rsid w:val="00AA183E"/>
    <w:rsid w:val="00AA7DF0"/>
    <w:rsid w:val="00AB4995"/>
    <w:rsid w:val="00AC7810"/>
    <w:rsid w:val="00AC7F59"/>
    <w:rsid w:val="00AD1365"/>
    <w:rsid w:val="00AE39DA"/>
    <w:rsid w:val="00AE6223"/>
    <w:rsid w:val="00AF3301"/>
    <w:rsid w:val="00B00967"/>
    <w:rsid w:val="00B00C4F"/>
    <w:rsid w:val="00B02A82"/>
    <w:rsid w:val="00B04CFC"/>
    <w:rsid w:val="00B1378F"/>
    <w:rsid w:val="00B41470"/>
    <w:rsid w:val="00B434A6"/>
    <w:rsid w:val="00B45627"/>
    <w:rsid w:val="00B54B5E"/>
    <w:rsid w:val="00B57D06"/>
    <w:rsid w:val="00B664A0"/>
    <w:rsid w:val="00B67107"/>
    <w:rsid w:val="00B75F73"/>
    <w:rsid w:val="00B77AD4"/>
    <w:rsid w:val="00B9279D"/>
    <w:rsid w:val="00BA1064"/>
    <w:rsid w:val="00BB166A"/>
    <w:rsid w:val="00BE1435"/>
    <w:rsid w:val="00BF257A"/>
    <w:rsid w:val="00BF63CC"/>
    <w:rsid w:val="00C065D6"/>
    <w:rsid w:val="00C123A3"/>
    <w:rsid w:val="00C14749"/>
    <w:rsid w:val="00C25F1D"/>
    <w:rsid w:val="00C4300F"/>
    <w:rsid w:val="00C6080F"/>
    <w:rsid w:val="00C83854"/>
    <w:rsid w:val="00C840F4"/>
    <w:rsid w:val="00C87585"/>
    <w:rsid w:val="00C92810"/>
    <w:rsid w:val="00C95299"/>
    <w:rsid w:val="00C96495"/>
    <w:rsid w:val="00CA14D1"/>
    <w:rsid w:val="00CA6416"/>
    <w:rsid w:val="00CB6DEF"/>
    <w:rsid w:val="00CD294E"/>
    <w:rsid w:val="00CD2C18"/>
    <w:rsid w:val="00CD42A0"/>
    <w:rsid w:val="00CE6916"/>
    <w:rsid w:val="00CE6F5A"/>
    <w:rsid w:val="00CF0D5C"/>
    <w:rsid w:val="00CF7A1F"/>
    <w:rsid w:val="00D03C81"/>
    <w:rsid w:val="00D127E5"/>
    <w:rsid w:val="00D3330E"/>
    <w:rsid w:val="00D55E8D"/>
    <w:rsid w:val="00D564E5"/>
    <w:rsid w:val="00D823E5"/>
    <w:rsid w:val="00D83EF9"/>
    <w:rsid w:val="00DA66DC"/>
    <w:rsid w:val="00DA73EA"/>
    <w:rsid w:val="00DC3233"/>
    <w:rsid w:val="00DC5279"/>
    <w:rsid w:val="00DC7FA6"/>
    <w:rsid w:val="00DF324C"/>
    <w:rsid w:val="00E019F0"/>
    <w:rsid w:val="00E12F4A"/>
    <w:rsid w:val="00E201DD"/>
    <w:rsid w:val="00E34416"/>
    <w:rsid w:val="00E34EEE"/>
    <w:rsid w:val="00E4170C"/>
    <w:rsid w:val="00E9496E"/>
    <w:rsid w:val="00EB0A7B"/>
    <w:rsid w:val="00EC53A3"/>
    <w:rsid w:val="00EC5E8F"/>
    <w:rsid w:val="00ED252A"/>
    <w:rsid w:val="00EE2DBC"/>
    <w:rsid w:val="00EE6231"/>
    <w:rsid w:val="00EF7DB1"/>
    <w:rsid w:val="00F002CA"/>
    <w:rsid w:val="00F12224"/>
    <w:rsid w:val="00F149C1"/>
    <w:rsid w:val="00F14BA9"/>
    <w:rsid w:val="00F26FA6"/>
    <w:rsid w:val="00F739EA"/>
    <w:rsid w:val="00F770CD"/>
    <w:rsid w:val="00F86C45"/>
    <w:rsid w:val="00F90533"/>
    <w:rsid w:val="00F90DCA"/>
    <w:rsid w:val="00FA4BB2"/>
    <w:rsid w:val="00FA4D16"/>
    <w:rsid w:val="00FA676E"/>
    <w:rsid w:val="00FC26AE"/>
    <w:rsid w:val="00FC29DB"/>
    <w:rsid w:val="00FC488F"/>
    <w:rsid w:val="00FE7D6D"/>
    <w:rsid w:val="00FE7EEA"/>
    <w:rsid w:val="00FF4E77"/>
    <w:rsid w:val="00FF54C6"/>
    <w:rsid w:val="00FF5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DF7EC"/>
  <w15:chartTrackingRefBased/>
  <w15:docId w15:val="{7FA1EF84-7887-954C-9082-DB9834CDA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54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8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8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8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8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8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8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8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80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5480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5480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5480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5480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5480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5480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5480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5480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548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80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548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80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548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4807"/>
    <w:rPr>
      <w:i/>
      <w:iCs/>
      <w:color w:val="404040" w:themeColor="text1" w:themeTint="BF"/>
      <w:lang w:val="en-GB"/>
    </w:rPr>
  </w:style>
  <w:style w:type="paragraph" w:styleId="ListParagraph">
    <w:name w:val="List Paragraph"/>
    <w:basedOn w:val="Normal"/>
    <w:uiPriority w:val="34"/>
    <w:qFormat/>
    <w:rsid w:val="00854807"/>
    <w:pPr>
      <w:ind w:left="720"/>
      <w:contextualSpacing/>
    </w:pPr>
  </w:style>
  <w:style w:type="character" w:styleId="IntenseEmphasis">
    <w:name w:val="Intense Emphasis"/>
    <w:basedOn w:val="DefaultParagraphFont"/>
    <w:uiPriority w:val="21"/>
    <w:qFormat/>
    <w:rsid w:val="00854807"/>
    <w:rPr>
      <w:i/>
      <w:iCs/>
      <w:color w:val="0F4761" w:themeColor="accent1" w:themeShade="BF"/>
    </w:rPr>
  </w:style>
  <w:style w:type="paragraph" w:styleId="IntenseQuote">
    <w:name w:val="Intense Quote"/>
    <w:basedOn w:val="Normal"/>
    <w:next w:val="Normal"/>
    <w:link w:val="IntenseQuoteChar"/>
    <w:uiPriority w:val="30"/>
    <w:qFormat/>
    <w:rsid w:val="00854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807"/>
    <w:rPr>
      <w:i/>
      <w:iCs/>
      <w:color w:val="0F4761" w:themeColor="accent1" w:themeShade="BF"/>
      <w:lang w:val="en-GB"/>
    </w:rPr>
  </w:style>
  <w:style w:type="character" w:styleId="IntenseReference">
    <w:name w:val="Intense Reference"/>
    <w:basedOn w:val="DefaultParagraphFont"/>
    <w:uiPriority w:val="32"/>
    <w:qFormat/>
    <w:rsid w:val="00854807"/>
    <w:rPr>
      <w:b/>
      <w:bCs/>
      <w:smallCaps/>
      <w:color w:val="0F4761" w:themeColor="accent1" w:themeShade="BF"/>
      <w:spacing w:val="5"/>
    </w:rPr>
  </w:style>
  <w:style w:type="character" w:customStyle="1" w:styleId="citation-112">
    <w:name w:val="citation-112"/>
    <w:basedOn w:val="DefaultParagraphFont"/>
    <w:rsid w:val="00C96495"/>
  </w:style>
  <w:style w:type="character" w:customStyle="1" w:styleId="apple-converted-space">
    <w:name w:val="apple-converted-space"/>
    <w:basedOn w:val="DefaultParagraphFont"/>
    <w:rsid w:val="00C96495"/>
  </w:style>
  <w:style w:type="character" w:customStyle="1" w:styleId="citation-111">
    <w:name w:val="citation-111"/>
    <w:basedOn w:val="DefaultParagraphFont"/>
    <w:rsid w:val="00C96495"/>
  </w:style>
  <w:style w:type="paragraph" w:styleId="Caption">
    <w:name w:val="caption"/>
    <w:basedOn w:val="Normal"/>
    <w:next w:val="Normal"/>
    <w:uiPriority w:val="35"/>
    <w:unhideWhenUsed/>
    <w:qFormat/>
    <w:rsid w:val="0081234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1</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Soumik Purkayastha</dc:creator>
  <cp:keywords/>
  <dc:description/>
  <cp:lastModifiedBy>Soumik Purkayastha</cp:lastModifiedBy>
  <cp:revision>20</cp:revision>
  <dcterms:created xsi:type="dcterms:W3CDTF">2025-11-10T15:13:00Z</dcterms:created>
  <dcterms:modified xsi:type="dcterms:W3CDTF">2025-11-10T15:34:00Z</dcterms:modified>
</cp:coreProperties>
</file>