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2ECB2" w14:textId="77777777" w:rsidR="00932F58" w:rsidRDefault="00932F58" w:rsidP="00A850D2">
      <w:pPr>
        <w:pStyle w:val="Header"/>
        <w:spacing w:line="276" w:lineRule="auto"/>
        <w:jc w:val="both"/>
        <w:rPr>
          <w:b/>
          <w:bCs/>
        </w:rPr>
      </w:pPr>
    </w:p>
    <w:p w14:paraId="038301C6" w14:textId="37FC8FBC" w:rsidR="00932F58" w:rsidRPr="00EC6581" w:rsidRDefault="00932F58" w:rsidP="00A850D2">
      <w:pPr>
        <w:pStyle w:val="Header"/>
        <w:spacing w:line="276" w:lineRule="auto"/>
        <w:jc w:val="both"/>
        <w:rPr>
          <w:b/>
          <w:bCs/>
          <w:i/>
          <w:iCs/>
        </w:rPr>
      </w:pPr>
      <w:r w:rsidRPr="00EC6581">
        <w:rPr>
          <w:b/>
          <w:bCs/>
          <w:i/>
          <w:iCs/>
        </w:rPr>
        <w:t>A PERMUTATION TEST FOR MEDIATING EFFECT OF HUMAN MICROBIOME USING DISTANCE-BASED APPROACHES.</w:t>
      </w:r>
    </w:p>
    <w:p w14:paraId="3F45F34F" w14:textId="171A57E7" w:rsidR="00932F58" w:rsidRPr="00EC6581" w:rsidRDefault="00932F58" w:rsidP="00A850D2">
      <w:pPr>
        <w:pStyle w:val="Header"/>
        <w:spacing w:line="276" w:lineRule="auto"/>
        <w:jc w:val="right"/>
        <w:rPr>
          <w:b/>
          <w:bCs/>
          <w:i/>
          <w:iCs/>
        </w:rPr>
      </w:pPr>
      <w:r w:rsidRPr="00EC6581">
        <w:rPr>
          <w:b/>
          <w:bCs/>
          <w:i/>
          <w:iCs/>
        </w:rPr>
        <w:t xml:space="preserve">Reproducing the findings presented in </w:t>
      </w:r>
      <w:r w:rsidRPr="00EC6581">
        <w:rPr>
          <w:b/>
          <w:bCs/>
          <w:i/>
          <w:iCs/>
        </w:rPr>
        <w:fldChar w:fldCharType="begin"/>
      </w:r>
      <w:r w:rsidRPr="00EC6581">
        <w:rPr>
          <w:b/>
          <w:bCs/>
          <w:i/>
          <w:iCs/>
        </w:rPr>
        <w:instrText xml:space="preserve"> ADDIN ZOTERO_ITEM CSL_CITATION {"citationID":"vrXBMywR","properties":{"formattedCitation":"(Zhang et al., 2018)","plainCitation":"(Zhang et al., 2018)","noteIndex":0},"citationItems":[{"id":328,"uris":["http://zotero.org/users/6647948/items/G6GP4NCV"],"uri":["http://zotero.org/users/6647948/items/G6GP4NCV"],"itemData":{"id":328,"type":"article-journal","container-title":"Bioinformatics","DOI":"10.1093/bioinformatics/bty014","ISSN":"1367-4803, 1460-2059","issue":"11","language":"en","page":"1875-1883","source":"DOI.org (Crossref)","title":"A distance-based approach for testing the mediation effect of the human microbiome","volume":"34","author":[{"family":"Zhang","given":"Jie"},{"family":"Wei","given":"Zhi"},{"family":"Chen","given":"Jun"}],"editor":[{"family":"Stegle","given":"Oliver"}],"issued":{"date-parts":[["2018",6,1]]}}}],"schema":"https://github.com/citation-style-language/schema/raw/master/csl-citation.json"} </w:instrText>
      </w:r>
      <w:r w:rsidRPr="00EC6581">
        <w:rPr>
          <w:b/>
          <w:bCs/>
          <w:i/>
          <w:iCs/>
        </w:rPr>
        <w:fldChar w:fldCharType="separate"/>
      </w:r>
      <w:r w:rsidRPr="00EC6581">
        <w:rPr>
          <w:b/>
          <w:bCs/>
          <w:i/>
          <w:iCs/>
          <w:noProof/>
        </w:rPr>
        <w:t>(Zhang et al., 2018)</w:t>
      </w:r>
      <w:r w:rsidRPr="00EC6581">
        <w:rPr>
          <w:b/>
          <w:bCs/>
          <w:i/>
          <w:iCs/>
        </w:rPr>
        <w:fldChar w:fldCharType="end"/>
      </w:r>
      <w:r w:rsidRPr="00EC6581">
        <w:rPr>
          <w:b/>
          <w:bCs/>
          <w:i/>
          <w:iCs/>
        </w:rPr>
        <w:t>.</w:t>
      </w:r>
    </w:p>
    <w:p w14:paraId="4C8FB64F" w14:textId="45335FB2" w:rsidR="00932F58" w:rsidRDefault="00932F58" w:rsidP="00A850D2">
      <w:pPr>
        <w:pStyle w:val="Header"/>
        <w:spacing w:line="276" w:lineRule="auto"/>
        <w:jc w:val="both"/>
        <w:rPr>
          <w:b/>
          <w:bCs/>
        </w:rPr>
      </w:pPr>
    </w:p>
    <w:p w14:paraId="2661F8AA" w14:textId="41761E99" w:rsidR="006C4D3E" w:rsidRPr="00EC6581" w:rsidRDefault="006C4D3E" w:rsidP="00A850D2">
      <w:pPr>
        <w:pStyle w:val="Header"/>
        <w:spacing w:line="276" w:lineRule="auto"/>
        <w:jc w:val="both"/>
        <w:rPr>
          <w:b/>
          <w:bCs/>
          <w:i/>
          <w:iCs/>
        </w:rPr>
      </w:pPr>
      <w:r w:rsidRPr="00EC6581">
        <w:rPr>
          <w:b/>
          <w:bCs/>
          <w:i/>
          <w:iCs/>
        </w:rPr>
        <w:t>1. INTRODUCTION</w:t>
      </w:r>
    </w:p>
    <w:p w14:paraId="246373FD" w14:textId="576A0C90" w:rsidR="00D54453" w:rsidRDefault="006C4D3E" w:rsidP="00A850D2">
      <w:pPr>
        <w:pStyle w:val="Header"/>
        <w:spacing w:line="276" w:lineRule="auto"/>
        <w:jc w:val="both"/>
      </w:pPr>
      <w:r w:rsidRPr="006C4D3E">
        <w:t>Recent studies have revealed a complex interplay between environment, the human microbiome and health and disease</w:t>
      </w:r>
      <w:r>
        <w:t xml:space="preserve"> </w:t>
      </w:r>
      <w:r>
        <w:fldChar w:fldCharType="begin"/>
      </w:r>
      <w:r>
        <w:instrText xml:space="preserve"> ADDIN ZOTERO_ITEM CSL_CITATION {"citationID":"OwW5aB6q","properties":{"formattedCitation":"(Grice et al., 2009; MetaHIT Consortium (additional members) et al., 2011)","plainCitation":"(Grice et al., 2009; MetaHIT Consortium (additional members) et al., 2011)","noteIndex":0},"citationItems":[{"id":332,"uris":["http://zotero.org/users/6647948/items/HHUK8WC5"],"uri":["http://zotero.org/users/6647948/items/HHUK8WC5"],"itemData":{"id":332,"type":"article-journal","container-title":"Science","DOI":"10.1126/science.1171700","ISSN":"0036-8075, 1095-9203","issue":"5931","journalAbbreviation":"Science","language":"en","page":"1190-1192","source":"DOI.org (Crossref)","title":"Topographical and Temporal Diversity of the Human Skin Microbiome","volume":"324","author":[{"family":"Grice","given":"E. A."},{"family":"Kong","given":"H. H."},{"family":"Conlan","given":"S."},{"family":"Deming","given":"C. B."},{"family":"Davis","given":"J."},{"family":"Young","given":"A. C."},{"literal":"NISC Comparative Sequencing Program"},{"family":"Bouffard","given":"G. G."},{"family":"Blakesley","given":"R. W."},{"family":"Murray","given":"P. R."},{"family":"Green","given":"E. D."},{"family":"Turner","given":"M. L."},{"family":"Segre","given":"J. A."}],"issued":{"date-parts":[["2009",5,29]]}}},{"id":330,"uris":["http://zotero.org/users/6647948/items/XJ9UGJRK"],"uri":["http://zotero.org/users/6647948/items/XJ9UGJRK"],"itemData":{"id":330,"type":"article-journal","container-title":"Nature","DOI":"10.1038/nature09944","ISSN":"0028-0836, 1476-4687","issue":"7346","journalAbbreviation":"Nature","language":"en","page":"174-180","source":"DOI.org (Crossref)","title":"Enterotypes of the human gut microbiome","volume":"473","author":[{"literal":"MetaHIT Consortium (additional members)"},{"family":"Arumugam","given":"Manimozhiyan"},{"family":"Raes","given":"Jeroen"},{"family":"Pelletier","given":"Eric"},{"family":"Le Paslier","given":"Denis"},{"family":"Yamada","given":"Takuji"},{"family":"Mende","given":"Daniel R."},{"family":"Fernandes","given":"Gabriel R."},{"family":"Tap","given":"Julien"},{"family":"Bruls","given":"Thomas"},{"family":"Batto","given":"Jean-Michel"},{"family":"Bertalan","given":"Marcelo"},{"family":"Borruel","given":"Natalia"},{"family":"Casellas","given":"Francesc"},{"family":"Fernandez","given":"Leyden"},{"family":"Gautier","given":"Laurent"},{"family":"Hansen","given":"Torben"},{"family":"Hattori","given":"Masahira"},{"family":"Hayashi","given":"Tetsuya"},{"family":"Kleerebezem","given":"Michiel"},{"family":"Kurokawa","given":"Ken"},{"family":"Leclerc","given":"Marion"},{"family":"Levenez","given":"Florence"},{"family":"Manichanh","given":"Chaysavanh"},{"family":"Nielsen","given":"H. Bjørn"},{"family":"Nielsen","given":"Trine"},{"family":"Pons","given":"Nicolas"},{"family":"Poulain","given":"Julie"},{"family":"Qin","given":"Junjie"},{"family":"Sicheritz-Ponten","given":"Thomas"},{"family":"Tims","given":"Sebastian"},{"family":"Torrents","given":"David"},{"family":"Ugarte","given":"Edgardo"},{"family":"Zoetendal","given":"Erwin G."},{"family":"Wang","given":"Jun"},{"family":"Guarner","given":"Francisco"},{"family":"Pedersen","given":"Oluf"},{"family":"Vos","given":"Willem M.","non-dropping-particle":"de"},{"family":"Brunak","given":"Søren"},{"family":"Doré","given":"Joel"},{"family":"Weissenbach","given":"Jean"},{"family":"Ehrlich","given":"S. Dusko"},{"family":"Bork","given":"Peer"}],"issued":{"date-parts":[["2011",5,12]]}}}],"schema":"https://github.com/citation-style-language/schema/raw/master/csl-citation.json"} </w:instrText>
      </w:r>
      <w:r>
        <w:fldChar w:fldCharType="separate"/>
      </w:r>
      <w:r>
        <w:rPr>
          <w:noProof/>
        </w:rPr>
        <w:t>(Grice et al., 2009; MetaHIT Consortium (additional members) et al., 2011)</w:t>
      </w:r>
      <w:r>
        <w:fldChar w:fldCharType="end"/>
      </w:r>
      <w:r w:rsidRPr="006C4D3E">
        <w:t xml:space="preserve">. Mediation analysis of the human microbiome in these complex relationships could potentially provide insights into the role of the microbiome in the </w:t>
      </w:r>
      <w:r w:rsidR="005268AE" w:rsidRPr="006C4D3E">
        <w:t>aetiology</w:t>
      </w:r>
      <w:r w:rsidRPr="006C4D3E">
        <w:t xml:space="preserve"> of disease and, more importantly, lead to novel clinical interventions by modulating the microbiome</w:t>
      </w:r>
      <w:r w:rsidR="00D54453">
        <w:t xml:space="preserve"> </w:t>
      </w:r>
      <w:r w:rsidR="00D54453">
        <w:fldChar w:fldCharType="begin"/>
      </w:r>
      <w:r w:rsidR="00D54453">
        <w:instrText xml:space="preserve"> ADDIN ZOTERO_ITEM CSL_CITATION {"citationID":"i6hg2D8B","properties":{"formattedCitation":"(Faith et al., 2013; Lozupone et al., 2012)","plainCitation":"(Faith et al., 2013; Lozupone et al., 2012)","noteIndex":0},"citationItems":[{"id":334,"uris":["http://zotero.org/users/6647948/items/ZIDGPEPT"],"uri":["http://zotero.org/users/6647948/items/ZIDGPEPT"],"itemData":{"id":334,"type":"article-journal","abstract":"A low-error 16\n              S\n              ribosomal RNA amplicon sequencing method, in combination with whole-genome sequencing of &gt;500 cultured isolates, was used to characterize bacterial strain composition in the fecal microbiota of 37 U.S. adults sampled for up to 5 years. Microbiota stability followed a power-law function, which when extrapolated suggests that most strains in an individual are residents for decades. Shared strains were recovered from family members but not from unrelated individuals. Sampling of individuals who consumed a monotonous liquid diet for up to 32 weeks indicated that changes in strain composition were better predicted by changes in weight than by differences in sampling interval. This combination of stability and responsiveness to physiologic change confirms the potential of the gut microbiota as a diagnostic tool and therapeutic target.","container-title":"Science","DOI":"10.1126/science.1237439","ISSN":"0036-8075, 1095-9203","issue":"6141","journalAbbreviation":"Science","language":"en","page":"1237439","source":"DOI.org (Crossref)","title":"The Long-Term Stability of the Human Gut Microbiota","volume":"341","author":[{"family":"Faith","given":"Jeremiah J."},{"family":"Guruge","given":"Janaki L."},{"family":"Charbonneau","given":"Mark"},{"family":"Subramanian","given":"Sathish"},{"family":"Seedorf","given":"Henning"},{"family":"Goodman","given":"Andrew L."},{"family":"Clemente","given":"Jose C."},{"family":"Knight","given":"Rob"},{"family":"Heath","given":"Andrew C."},{"family":"Leibel","given":"Rudolph L."},{"family":"Rosenbaum","given":"Michael"},{"family":"Gordon","given":"Jeffrey I."}],"issued":{"date-parts":[["2013",7,5]]}}},{"id":336,"uris":["http://zotero.org/users/6647948/items/YPDECHQP"],"uri":["http://zotero.org/users/6647948/items/YPDECHQP"],"itemData":{"id":336,"type":"article-journal","container-title":"Nature","DOI":"10.1038/nature11550","ISSN":"0028-0836, 1476-4687","issue":"7415","journalAbbreviation":"Nature","language":"en","page":"220-230","source":"DOI.org (Crossref)","title":"Diversity, stability and resilience of the human gut microbiota","volume":"489","author":[{"family":"Lozupone","given":"Catherine A."},{"family":"Stombaugh","given":"Jesse I."},{"family":"Gordon","given":"Jeffrey I."},{"family":"Jansson","given":"Janet K."},{"family":"Knight","given":"Rob"}],"issued":{"date-parts":[["2012",9]]}}}],"schema":"https://github.com/citation-style-language/schema/raw/master/csl-citation.json"} </w:instrText>
      </w:r>
      <w:r w:rsidR="00D54453">
        <w:fldChar w:fldCharType="separate"/>
      </w:r>
      <w:r w:rsidR="00D54453">
        <w:rPr>
          <w:noProof/>
        </w:rPr>
        <w:t>(Faith et al., 2013; Lozupone et al., 2012)</w:t>
      </w:r>
      <w:r w:rsidR="00D54453">
        <w:fldChar w:fldCharType="end"/>
      </w:r>
      <w:r w:rsidRPr="006C4D3E">
        <w:t xml:space="preserve">. </w:t>
      </w:r>
    </w:p>
    <w:p w14:paraId="0F57728F" w14:textId="28D29FCF" w:rsidR="00D54453" w:rsidRDefault="00D54453" w:rsidP="00A850D2">
      <w:pPr>
        <w:pStyle w:val="Header"/>
        <w:spacing w:line="276" w:lineRule="auto"/>
        <w:jc w:val="both"/>
      </w:pPr>
    </w:p>
    <w:p w14:paraId="0B4937F0" w14:textId="486C3F8B" w:rsidR="00D54453" w:rsidRDefault="00D54453" w:rsidP="00A850D2">
      <w:pPr>
        <w:pStyle w:val="Header"/>
        <w:spacing w:line="276" w:lineRule="auto"/>
        <w:jc w:val="both"/>
      </w:pPr>
      <w:r w:rsidRPr="00D54453">
        <w:t>Quite a few statistical methods have been proposed to test the association between the microbiome compositions and covariates of interest (e.g. environmental factors or clinical outcomes) based on 16S data, where 16S rRNA gene sequence tags are clustered into</w:t>
      </w:r>
      <w:r>
        <w:t xml:space="preserve"> operational taxonomic units (OTUs) based on sequence divergence </w:t>
      </w:r>
      <w:r>
        <w:fldChar w:fldCharType="begin"/>
      </w:r>
      <w:r>
        <w:instrText xml:space="preserve"> ADDIN ZOTERO_ITEM CSL_CITATION {"citationID":"Fh3Z9Dmj","properties":{"formattedCitation":"(Chen et al., 2012; Zhao et al., 2015)","plainCitation":"(Chen et al., 2012; Zhao et al., 2015)","noteIndex":0},"citationItems":[{"id":338,"uris":["http://zotero.org/users/6647948/items/WM4FPF4Z"],"uri":["http://zotero.org/users/6647948/items/WM4FPF4Z"],"itemData":{"id":338,"type":"article-journal","container-title":"Bioinformatics","DOI":"10.1093/bioinformatics/bts342","ISSN":"1460-2059, 1367-4803","issue":"16","language":"en","page":"2106-2113","source":"DOI.org (Crossref)","title":"Associating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D."},{"family":"Li","given":"Hongzhe"}],"issued":{"date-parts":[["2012",8,15]]}}},{"id":340,"uris":["http://zotero.org/users/6647948/items/W9JDZLMI"],"uri":["http://zotero.org/users/6647948/items/W9JDZLMI"],"itemData":{"id":340,"type":"article-journal","container-title":"The American Journal of Human Genetics","DOI":"10.1016/j.ajhg.2015.04.003","ISSN":"00029297","issue":"5","journalAbbreviation":"The American Journal of Human Genetics","language":"en","page":"797-807","source":"DOI.org (Crossref)","title":"Testing in Microbiome-Profiling Studies with MiRKAT, the Microbiome Regression-Based Kernel Association Test","volume":"96","author":[{"family":"Zhao","given":"Ni"},{"family":"Chen","given":"Jun"},{"family":"Carroll","given":"Ian M."},{"family":"Ringel-Kulka","given":"Tamar"},{"family":"Epstein","given":"Michael P."},{"family":"Zhou","given":"Hua"},{"family":"Zhou","given":"Jin J."},{"family":"Ringel","given":"Yehuda"},{"family":"Li","given":"Hongzhe"},{"family":"Wu","given":"Michael C."}],"issued":{"date-parts":[["2015",5]]}}}],"schema":"https://github.com/citation-style-language/schema/raw/master/csl-citation.json"} </w:instrText>
      </w:r>
      <w:r>
        <w:fldChar w:fldCharType="separate"/>
      </w:r>
      <w:r>
        <w:rPr>
          <w:noProof/>
        </w:rPr>
        <w:t>(Chen et al., 2012; Zhao et al., 2015)</w:t>
      </w:r>
      <w:r>
        <w:fldChar w:fldCharType="end"/>
      </w:r>
      <w:r>
        <w:t xml:space="preserve">. Researchers </w:t>
      </w:r>
      <w:r w:rsidRPr="00D54453">
        <w:t xml:space="preserve">usually utilize distance metrics, measuring the pairwise dissimilarity in the microbiome profiles, to compute test statistics, and employ permutation tests to calculate the </w:t>
      </w:r>
      <w:r>
        <w:t>p</w:t>
      </w:r>
      <w:r w:rsidRPr="00D54453">
        <w:t>-value. The performance of these distance-based methods depends on the choice of the distance metric</w:t>
      </w:r>
      <w:r>
        <w:t xml:space="preserve"> </w:t>
      </w:r>
      <w:r>
        <w:fldChar w:fldCharType="begin"/>
      </w:r>
      <w:r>
        <w:instrText xml:space="preserve"> ADDIN ZOTERO_ITEM CSL_CITATION {"citationID":"93JUPF6G","properties":{"formattedCitation":"(Chen et al., 2012)","plainCitation":"(Chen et al., 2012)","noteIndex":0},"citationItems":[{"id":338,"uris":["http://zotero.org/users/6647948/items/WM4FPF4Z"],"uri":["http://zotero.org/users/6647948/items/WM4FPF4Z"],"itemData":{"id":338,"type":"article-journal","container-title":"Bioinformatics","DOI":"10.1093/bioinformatics/bts342","ISSN":"1460-2059, 1367-4803","issue":"16","language":"en","page":"2106-2113","source":"DOI.org (Crossref)","title":"Associating microbiome composition with environmental covariates using generalized UniFrac distances","volume":"28","author":[{"family":"Chen","given":"Jun"},{"family":"Bittinger","given":"Kyle"},{"family":"Charlson","given":"Emily S."},{"family":"Hoffmann","given":"Christian"},{"family":"Lewis","given":"James"},{"family":"Wu","given":"Gary D."},{"family":"Collman","given":"Ronald G."},{"family":"Bushman","given":"Frederic D."},{"family":"Li","given":"Hongzhe"}],"issued":{"date-parts":[["2012",8,15]]}}}],"schema":"https://github.com/citation-style-language/schema/raw/master/csl-citation.json"} </w:instrText>
      </w:r>
      <w:r>
        <w:fldChar w:fldCharType="separate"/>
      </w:r>
      <w:r>
        <w:rPr>
          <w:noProof/>
        </w:rPr>
        <w:t>(Chen et al., 2012)</w:t>
      </w:r>
      <w:r>
        <w:fldChar w:fldCharType="end"/>
      </w:r>
      <w:r>
        <w:t xml:space="preserve">. </w:t>
      </w:r>
      <w:r w:rsidR="006C4D3E" w:rsidRPr="006C4D3E">
        <w:t>However, none of the existing methods</w:t>
      </w:r>
      <w:r>
        <w:t xml:space="preserve"> which utilise just one distance</w:t>
      </w:r>
      <w:r w:rsidR="006C4D3E" w:rsidRPr="006C4D3E">
        <w:t xml:space="preserve"> are suitable for testing such clinically important mediation effect. </w:t>
      </w:r>
      <w:r>
        <w:t>H</w:t>
      </w:r>
      <w:r w:rsidRPr="006C4D3E">
        <w:t>igh dimensionality, sparsity, non-</w:t>
      </w:r>
      <w:proofErr w:type="gramStart"/>
      <w:r w:rsidRPr="006C4D3E">
        <w:t>normality</w:t>
      </w:r>
      <w:proofErr w:type="gramEnd"/>
      <w:r w:rsidRPr="006C4D3E">
        <w:t xml:space="preserve"> and phylogenetic structure of microbiome data</w:t>
      </w:r>
      <w:r>
        <w:t xml:space="preserve"> </w:t>
      </w:r>
      <w:r w:rsidR="00F56EDD">
        <w:t xml:space="preserve">add to the complexity of the problem. </w:t>
      </w:r>
      <w:r w:rsidR="00E320C7" w:rsidRPr="00E320C7">
        <w:t>Recently, methods that accommodate multiple distances have been proposed</w:t>
      </w:r>
      <w:r w:rsidR="00E320C7">
        <w:t xml:space="preserve"> </w:t>
      </w:r>
      <w:r w:rsidR="00E320C7">
        <w:fldChar w:fldCharType="begin"/>
      </w:r>
      <w:r w:rsidR="00E320C7">
        <w:instrText xml:space="preserve"> ADDIN ZOTERO_ITEM CSL_CITATION {"citationID":"Dw4myLOi","properties":{"formattedCitation":"(Tang et al., 2016)","plainCitation":"(Tang et al., 2016)","noteIndex":0},"citationItems":[{"id":342,"uris":["http://zotero.org/users/6647948/items/FJ73MR5L"],"uri":["http://zotero.org/users/6647948/items/FJ73MR5L"],"itemData":{"id":342,"type":"article-journal","container-title":"Bioinformatics","DOI":"10.1093/bioinformatics/btw311","ISSN":"1367-4803, 1460-2059","issue":"17","journalAbbreviation":"Bioinformatics","language":"en","page":"2618-2625","source":"DOI.org (Crossref)","title":"PERMANOVA-S: association test for microbial community composition that accommodates confounders and multiple distances","title-short":"PERMANOVA-S","volume":"32","author":[{"family":"Tang","given":"Zheng-Zheng"},{"family":"Chen","given":"Guanhua"},{"family":"Alekseyenko","given":"Alexander V."}],"issued":{"date-parts":[["2016",9,1]]}}}],"schema":"https://github.com/citation-style-language/schema/raw/master/csl-citation.json"} </w:instrText>
      </w:r>
      <w:r w:rsidR="00E320C7">
        <w:fldChar w:fldCharType="separate"/>
      </w:r>
      <w:r w:rsidR="00E320C7">
        <w:rPr>
          <w:noProof/>
        </w:rPr>
        <w:t>(Tang et al., 2016)</w:t>
      </w:r>
      <w:r w:rsidR="00E320C7">
        <w:fldChar w:fldCharType="end"/>
      </w:r>
      <w:r w:rsidR="00E320C7" w:rsidRPr="00E320C7">
        <w:t xml:space="preserve">. They </w:t>
      </w:r>
      <w:r w:rsidR="00E320C7">
        <w:t>exhibit</w:t>
      </w:r>
      <w:r w:rsidR="00E320C7" w:rsidRPr="00E320C7">
        <w:t xml:space="preserve"> controlled Type I error rate</w:t>
      </w:r>
      <w:r w:rsidR="00182D9D">
        <w:t xml:space="preserve"> </w:t>
      </w:r>
      <w:r w:rsidR="00E320C7" w:rsidRPr="00E320C7">
        <w:t>and yield good performance comparable to the best choice of distance metric. However, previous methods could only analy</w:t>
      </w:r>
      <w:r w:rsidR="00E320C7">
        <w:t>s</w:t>
      </w:r>
      <w:r w:rsidR="00E320C7" w:rsidRPr="00E320C7">
        <w:t>e and test bivariate relations.</w:t>
      </w:r>
    </w:p>
    <w:p w14:paraId="7BCE8E09" w14:textId="3E2BE79B" w:rsidR="00182D9D" w:rsidRDefault="00182D9D" w:rsidP="00A850D2">
      <w:pPr>
        <w:pStyle w:val="Header"/>
        <w:spacing w:line="276" w:lineRule="auto"/>
        <w:jc w:val="both"/>
      </w:pPr>
    </w:p>
    <w:p w14:paraId="1D1719B0" w14:textId="2E5A43B1" w:rsidR="00932F58" w:rsidRDefault="00182D9D" w:rsidP="00A850D2">
      <w:pPr>
        <w:pStyle w:val="Header"/>
        <w:spacing w:line="276" w:lineRule="auto"/>
        <w:jc w:val="both"/>
      </w:pPr>
      <w:r w:rsidRPr="00182D9D">
        <w:t>Traditional mediation analysis, which tests if a single variable mediates the relationship between a known exposure and an outcome, has been widely applied in biomedical, behavio</w:t>
      </w:r>
      <w:r>
        <w:t>u</w:t>
      </w:r>
      <w:r w:rsidRPr="00182D9D">
        <w:t>ral, and psychosocial studie</w:t>
      </w:r>
      <w:r>
        <w:t xml:space="preserve">s </w:t>
      </w:r>
      <w:r>
        <w:fldChar w:fldCharType="begin"/>
      </w:r>
      <w:r>
        <w:instrText xml:space="preserve"> ADDIN ZOTERO_ITEM CSL_CITATION {"citationID":"zgKDIIdK","properties":{"formattedCitation":"(Baron &amp; Kenny, 1986)","plainCitation":"(Baron &amp; Kenny, 1986)","noteIndex":0},"citationItems":[{"id":202,"uris":["http://zotero.org/users/6647948/items/GLI33RHE"],"uri":["http://zotero.org/users/6647948/items/GLI33RHE"],"itemData":{"id":202,"type":"article-journal","container-title":"Journal of Personality and Social Psychology","DOI":"10.1037/0022-3514.51.6.1173","ISSN":"1939-1315, 0022-3514","issue":"6","journalAbbreviation":"Journal of Personality and Social Psychology","language":"en","page":"1173-1182","source":"DOI.org (Crossref)","title":"The moderator–mediator variable distinction in social psychological research: Conceptual, strategic, and statistical considerations.","title-short":"The moderator–mediator variable distinction in social psychological research","volume":"51","author":[{"family":"Baron","given":"Reuben M."},{"family":"Kenny","given":"David A."}],"issued":{"date-parts":[["1986"]]}}}],"schema":"https://github.com/citation-style-language/schema/raw/master/csl-citation.json"} </w:instrText>
      </w:r>
      <w:r>
        <w:fldChar w:fldCharType="separate"/>
      </w:r>
      <w:r>
        <w:rPr>
          <w:noProof/>
        </w:rPr>
        <w:t>(Baron &amp; Kenny, 1986)</w:t>
      </w:r>
      <w:r>
        <w:fldChar w:fldCharType="end"/>
      </w:r>
      <w:r>
        <w:t xml:space="preserve">. The authors </w:t>
      </w:r>
      <w:r>
        <w:fldChar w:fldCharType="begin"/>
      </w:r>
      <w:r>
        <w:instrText xml:space="preserve"> ADDIN ZOTERO_ITEM CSL_CITATION {"citationID":"Ps0livTd","properties":{"formattedCitation":"(Zhang et al., 2018)","plainCitation":"(Zhang et al., 2018)","noteIndex":0},"citationItems":[{"id":328,"uris":["http://zotero.org/users/6647948/items/G6GP4NCV"],"uri":["http://zotero.org/users/6647948/items/G6GP4NCV"],"itemData":{"id":328,"type":"article-journal","container-title":"Bioinformatics","DOI":"10.1093/bioinformatics/bty014","ISSN":"1367-4803, 1460-2059","issue":"11","language":"en","page":"1875-1883","source":"DOI.org (Crossref)","title":"A distance-based approach for testing the mediation effect of the human microbiome","volume":"34","author":[{"family":"Zhang","given":"Jie"},{"family":"Wei","given":"Zhi"},{"family":"Chen","given":"Jun"}],"editor":[{"family":"Stegle","given":"Oliver"}],"issued":{"date-parts":[["2018",6,1]]}}}],"schema":"https://github.com/citation-style-language/schema/raw/master/csl-citation.json"} </w:instrText>
      </w:r>
      <w:r>
        <w:fldChar w:fldCharType="separate"/>
      </w:r>
      <w:r>
        <w:rPr>
          <w:noProof/>
        </w:rPr>
        <w:t>(Zhang et al., 2018)</w:t>
      </w:r>
      <w:r>
        <w:fldChar w:fldCharType="end"/>
      </w:r>
      <w:r>
        <w:t xml:space="preserve"> </w:t>
      </w:r>
      <w:r w:rsidR="006C4D3E" w:rsidRPr="006C4D3E">
        <w:t xml:space="preserve">propose a distance-based approach for testing the mediation effect of the human microbiome. In the framework, the nonlinear relationship between the human microbiome and independent/dependent variables is captured implicitly </w:t>
      </w:r>
      <w:r w:rsidR="00A51102" w:rsidRPr="006C4D3E">
        <w:t>using</w:t>
      </w:r>
      <w:r w:rsidR="006C4D3E" w:rsidRPr="006C4D3E">
        <w:t xml:space="preserve"> sample-wise ecological distances, and the phylogenetic tree information is incorporated by using phylogeny-based distance metrics. Multiple distance metrics are utilized to maximize the power to detect various types of mediation effect. </w:t>
      </w:r>
      <w:r>
        <w:t>The authors notes that s</w:t>
      </w:r>
      <w:r w:rsidR="006C4D3E" w:rsidRPr="006C4D3E">
        <w:t xml:space="preserve">imulation studies demonstrate that </w:t>
      </w:r>
      <w:r>
        <w:t>this</w:t>
      </w:r>
      <w:r w:rsidR="006C4D3E" w:rsidRPr="006C4D3E">
        <w:t xml:space="preserve"> method has correct Type I error control</w:t>
      </w:r>
      <w:r>
        <w:t xml:space="preserve"> </w:t>
      </w:r>
      <w:r w:rsidR="006C4D3E" w:rsidRPr="006C4D3E">
        <w:t xml:space="preserve">and is robust and powerful under various mediation models. </w:t>
      </w:r>
      <w:r>
        <w:t xml:space="preserve">In this report, we will </w:t>
      </w:r>
      <w:r>
        <w:lastRenderedPageBreak/>
        <w:t>attempt to partially reproduce the results presented, by means of one numerical study. Additionally, we examine how this method, when applied t</w:t>
      </w:r>
      <w:r w:rsidRPr="006C4D3E">
        <w:t>o a real gut microbiome dataset revea</w:t>
      </w:r>
      <w:r>
        <w:t xml:space="preserve">ls </w:t>
      </w:r>
      <w:r w:rsidRPr="006C4D3E">
        <w:t>that the association between the dietary fib</w:t>
      </w:r>
      <w:r w:rsidR="00546AC1">
        <w:t xml:space="preserve">re </w:t>
      </w:r>
      <w:r w:rsidRPr="006C4D3E">
        <w:t>intake and body mass index was mediated by the gut microbiome.</w:t>
      </w:r>
    </w:p>
    <w:p w14:paraId="100F5C85" w14:textId="306BB117" w:rsidR="00546AC1" w:rsidRDefault="00546AC1" w:rsidP="00A850D2">
      <w:pPr>
        <w:pStyle w:val="Header"/>
        <w:spacing w:line="276" w:lineRule="auto"/>
        <w:jc w:val="both"/>
      </w:pPr>
    </w:p>
    <w:p w14:paraId="2E759719" w14:textId="77777777" w:rsidR="00546AC1" w:rsidRDefault="00546AC1" w:rsidP="00A850D2">
      <w:pPr>
        <w:pStyle w:val="Header"/>
        <w:spacing w:line="276" w:lineRule="auto"/>
        <w:jc w:val="both"/>
      </w:pPr>
    </w:p>
    <w:p w14:paraId="66B5C198" w14:textId="1B34AFE1" w:rsidR="00546AC1" w:rsidRPr="00EC6581" w:rsidRDefault="00546AC1" w:rsidP="00A850D2">
      <w:pPr>
        <w:pStyle w:val="Header"/>
        <w:spacing w:line="276" w:lineRule="auto"/>
        <w:jc w:val="both"/>
        <w:rPr>
          <w:b/>
          <w:bCs/>
          <w:i/>
          <w:iCs/>
        </w:rPr>
      </w:pPr>
      <w:r w:rsidRPr="00EC6581">
        <w:rPr>
          <w:b/>
          <w:bCs/>
          <w:i/>
          <w:iCs/>
        </w:rPr>
        <w:t>2. METHODS</w:t>
      </w:r>
    </w:p>
    <w:p w14:paraId="4F4C05A2" w14:textId="7A2C8A14" w:rsidR="007A24E2" w:rsidRPr="00EC6581" w:rsidRDefault="007A24E2" w:rsidP="00A850D2">
      <w:pPr>
        <w:pStyle w:val="Header"/>
        <w:spacing w:line="276" w:lineRule="auto"/>
        <w:jc w:val="both"/>
        <w:rPr>
          <w:b/>
          <w:bCs/>
          <w:i/>
          <w:iCs/>
        </w:rPr>
      </w:pPr>
    </w:p>
    <w:p w14:paraId="1AF53652" w14:textId="24A0A211" w:rsidR="00BA3C1A" w:rsidRPr="00EC6581" w:rsidRDefault="00BA3C1A" w:rsidP="00A850D2">
      <w:pPr>
        <w:pStyle w:val="Header"/>
        <w:spacing w:line="276" w:lineRule="auto"/>
        <w:jc w:val="both"/>
        <w:rPr>
          <w:b/>
          <w:bCs/>
          <w:i/>
          <w:iCs/>
        </w:rPr>
      </w:pPr>
      <w:r w:rsidRPr="00EC6581">
        <w:rPr>
          <w:b/>
          <w:bCs/>
          <w:i/>
          <w:iCs/>
        </w:rPr>
        <w:t>2.1. Mediation model</w:t>
      </w:r>
    </w:p>
    <w:p w14:paraId="2FCE9411" w14:textId="5B562C36" w:rsidR="003D144A" w:rsidRDefault="006036A4" w:rsidP="00A850D2">
      <w:pPr>
        <w:pStyle w:val="Header"/>
        <w:spacing w:line="276" w:lineRule="auto"/>
        <w:jc w:val="both"/>
        <w:rPr>
          <w:rFonts w:eastAsiaTheme="minorEastAsia"/>
        </w:rPr>
      </w:pPr>
      <w:r>
        <w:rPr>
          <w:noProof/>
        </w:rPr>
        <mc:AlternateContent>
          <mc:Choice Requires="wps">
            <w:drawing>
              <wp:anchor distT="0" distB="0" distL="114300" distR="114300" simplePos="0" relativeHeight="251660288" behindDoc="1" locked="0" layoutInCell="1" allowOverlap="1" wp14:anchorId="545B1933" wp14:editId="6A2E6C74">
                <wp:simplePos x="0" y="0"/>
                <wp:positionH relativeFrom="column">
                  <wp:posOffset>4166235</wp:posOffset>
                </wp:positionH>
                <wp:positionV relativeFrom="paragraph">
                  <wp:posOffset>1612569</wp:posOffset>
                </wp:positionV>
                <wp:extent cx="1723390" cy="417830"/>
                <wp:effectExtent l="0" t="0" r="3810" b="1270"/>
                <wp:wrapTight wrapText="bothSides">
                  <wp:wrapPolygon edited="0">
                    <wp:start x="0" y="0"/>
                    <wp:lineTo x="0" y="21009"/>
                    <wp:lineTo x="21489" y="21009"/>
                    <wp:lineTo x="2148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723390" cy="417830"/>
                        </a:xfrm>
                        <a:prstGeom prst="rect">
                          <a:avLst/>
                        </a:prstGeom>
                        <a:solidFill>
                          <a:prstClr val="white"/>
                        </a:solidFill>
                        <a:ln>
                          <a:noFill/>
                        </a:ln>
                      </wps:spPr>
                      <wps:txbx>
                        <w:txbxContent>
                          <w:p w14:paraId="5643D1D0" w14:textId="75070032" w:rsidR="003D144A" w:rsidRPr="000828EF" w:rsidRDefault="003D144A" w:rsidP="003D144A">
                            <w:pPr>
                              <w:pStyle w:val="Caption"/>
                              <w:jc w:val="both"/>
                              <w:rPr>
                                <w:color w:val="000000" w:themeColor="text1"/>
                              </w:rPr>
                            </w:pPr>
                            <w:r w:rsidRPr="000828EF">
                              <w:rPr>
                                <w:color w:val="000000" w:themeColor="text1"/>
                              </w:rPr>
                              <w:t>Figure 1: Graphical representation of the mediation model presented by Zhang et al.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5B1933" id="_x0000_t202" coordsize="21600,21600" o:spt="202" path="m,l,21600r21600,l21600,xe">
                <v:stroke joinstyle="miter"/>
                <v:path gradientshapeok="t" o:connecttype="rect"/>
              </v:shapetype>
              <v:shape id="Text Box 2" o:spid="_x0000_s1026" type="#_x0000_t202" style="position:absolute;left:0;text-align:left;margin-left:328.05pt;margin-top:126.95pt;width:135.7pt;height:32.9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" stroked="f">
                <v:textbox inset="0,0,0,0">
                  <w:txbxContent>
                    <w:p w14:paraId="5643D1D0" w14:textId="75070032" w:rsidR="003D144A" w:rsidRPr="000828EF" w:rsidRDefault="003D144A" w:rsidP="003D144A">
                      <w:pPr>
                        <w:pStyle w:val="Caption"/>
                        <w:jc w:val="both"/>
                        <w:rPr>
                          <w:color w:val="000000" w:themeColor="text1"/>
                        </w:rPr>
                      </w:pPr>
                      <w:r w:rsidRPr="000828EF">
                        <w:rPr>
                          <w:color w:val="000000" w:themeColor="text1"/>
                        </w:rPr>
                        <w:t>Figure 1: Graphical representation of the mediation model presented by Zhang et al. (2018).</w:t>
                      </w:r>
                    </w:p>
                  </w:txbxContent>
                </v:textbox>
                <w10:wrap type="tight"/>
              </v:shape>
            </w:pict>
          </mc:Fallback>
        </mc:AlternateContent>
      </w:r>
      <w:r w:rsidRPr="003D144A">
        <w:rPr>
          <w:rFonts w:eastAsiaTheme="minorEastAsia"/>
          <w:noProof/>
        </w:rPr>
        <w:drawing>
          <wp:anchor distT="0" distB="0" distL="114300" distR="114300" simplePos="0" relativeHeight="251658240" behindDoc="1" locked="0" layoutInCell="1" allowOverlap="1" wp14:anchorId="67353420" wp14:editId="13EAF9E6">
            <wp:simplePos x="0" y="0"/>
            <wp:positionH relativeFrom="column">
              <wp:posOffset>4163060</wp:posOffset>
            </wp:positionH>
            <wp:positionV relativeFrom="paragraph">
              <wp:posOffset>63500</wp:posOffset>
            </wp:positionV>
            <wp:extent cx="1723390" cy="1513840"/>
            <wp:effectExtent l="12700" t="12700" r="16510" b="10160"/>
            <wp:wrapTight wrapText="bothSides">
              <wp:wrapPolygon edited="0">
                <wp:start x="-159" y="-181"/>
                <wp:lineTo x="-159" y="21564"/>
                <wp:lineTo x="21648" y="21564"/>
                <wp:lineTo x="21648" y="-181"/>
                <wp:lineTo x="-159" y="-181"/>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90" cy="151384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7A24E2">
        <w:t>Let</w:t>
      </w:r>
      <w:r w:rsidR="007A24E2" w:rsidRPr="00AD2166">
        <w:rPr>
          <w:b/>
          <w:bCs/>
        </w:rPr>
        <w:t xml:space="preserve"> </w:t>
      </w:r>
      <m:oMath>
        <m:r>
          <m:rPr>
            <m:sty m:val="bi"/>
          </m:rPr>
          <w:rPr>
            <w:rFonts w:ascii="Cambria Math" w:hAnsi="Cambria Math"/>
          </w:rPr>
          <m:t>M</m:t>
        </m:r>
      </m:oMath>
      <w:r w:rsidR="005706BE">
        <w:rPr>
          <w:rFonts w:eastAsiaTheme="minorEastAsia"/>
        </w:rPr>
        <w:t xml:space="preserve"> be an </w:t>
      </w:r>
      <m:oMath>
        <m:r>
          <w:rPr>
            <w:rFonts w:ascii="Cambria Math" w:eastAsiaTheme="minorEastAsia" w:hAnsi="Cambria Math"/>
          </w:rPr>
          <m:t xml:space="preserve">n </m:t>
        </m:r>
        <m:r>
          <m:rPr>
            <m:sty m:val="p"/>
          </m:rPr>
          <w:rPr>
            <w:rFonts w:ascii="Cambria Math" w:eastAsiaTheme="minorEastAsia" w:hAnsi="Cambria Math"/>
          </w:rPr>
          <m:t>×</m:t>
        </m:r>
        <m:r>
          <w:rPr>
            <w:rFonts w:ascii="Cambria Math" w:eastAsiaTheme="minorEastAsia" w:hAnsi="Cambria Math"/>
          </w:rPr>
          <m:t>m</m:t>
        </m:r>
      </m:oMath>
      <w:r w:rsidR="005706BE">
        <w:rPr>
          <w:rFonts w:eastAsiaTheme="minorEastAsia"/>
        </w:rPr>
        <w:t xml:space="preserve"> matrix of either counts that measures abundance of </w:t>
      </w:r>
      <m:oMath>
        <m:r>
          <w:rPr>
            <w:rFonts w:ascii="Cambria Math" w:eastAsiaTheme="minorEastAsia" w:hAnsi="Cambria Math"/>
          </w:rPr>
          <m:t>m</m:t>
        </m:r>
      </m:oMath>
      <w:r w:rsidR="005706BE">
        <w:rPr>
          <w:rFonts w:eastAsiaTheme="minorEastAsia"/>
        </w:rPr>
        <w:t xml:space="preserve"> OTUs for </w:t>
      </w:r>
      <m:oMath>
        <m:r>
          <w:rPr>
            <w:rFonts w:ascii="Cambria Math" w:eastAsiaTheme="minorEastAsia" w:hAnsi="Cambria Math"/>
          </w:rPr>
          <m:t>n</m:t>
        </m:r>
      </m:oMath>
      <w:r w:rsidR="005706BE">
        <w:rPr>
          <w:rFonts w:eastAsiaTheme="minorEastAsia"/>
        </w:rPr>
        <w:t xml:space="preserve"> microbiota samples or a binary matrix that indicates presence of absence of those </w:t>
      </w:r>
      <m:oMath>
        <m:r>
          <w:rPr>
            <w:rFonts w:ascii="Cambria Math" w:eastAsiaTheme="minorEastAsia" w:hAnsi="Cambria Math"/>
          </w:rPr>
          <m:t>m</m:t>
        </m:r>
      </m:oMath>
      <w:r w:rsidR="005706BE">
        <w:rPr>
          <w:rFonts w:eastAsiaTheme="minorEastAsia"/>
        </w:rPr>
        <w:t xml:space="preserve"> OTUs. Let </w:t>
      </w:r>
      <m:oMath>
        <m:r>
          <m:rPr>
            <m:sty m:val="bi"/>
          </m:rPr>
          <w:rPr>
            <w:rFonts w:ascii="Cambria Math" w:eastAsiaTheme="minorEastAsia" w:hAnsi="Cambria Math"/>
          </w:rPr>
          <m:t>X</m:t>
        </m:r>
      </m:oMath>
      <w:r w:rsidR="005706BE">
        <w:rPr>
          <w:rFonts w:eastAsiaTheme="minorEastAsia"/>
        </w:rPr>
        <w:t xml:space="preserve"> be an </w:t>
      </w:r>
      <m:oMath>
        <m:r>
          <w:rPr>
            <w:rFonts w:ascii="Cambria Math" w:eastAsiaTheme="minorEastAsia" w:hAnsi="Cambria Math"/>
          </w:rPr>
          <m:t xml:space="preserve">n </m:t>
        </m:r>
        <m:r>
          <m:rPr>
            <m:sty m:val="p"/>
          </m:rPr>
          <w:rPr>
            <w:rFonts w:ascii="Cambria Math" w:eastAsiaTheme="minorEastAsia" w:hAnsi="Cambria Math"/>
          </w:rPr>
          <m:t>×</m:t>
        </m:r>
        <m:r>
          <w:rPr>
            <w:rFonts w:ascii="Cambria Math" w:eastAsiaTheme="minorEastAsia" w:hAnsi="Cambria Math"/>
          </w:rPr>
          <m:t>1</m:t>
        </m:r>
      </m:oMath>
      <w:r w:rsidR="005706BE">
        <w:rPr>
          <w:rFonts w:eastAsiaTheme="minorEastAsia"/>
        </w:rPr>
        <w:t xml:space="preserve"> vector denoting the independent variable and let </w:t>
      </w:r>
      <m:oMath>
        <m:r>
          <m:rPr>
            <m:sty m:val="bi"/>
          </m:rPr>
          <w:rPr>
            <w:rFonts w:ascii="Cambria Math" w:eastAsiaTheme="minorEastAsia" w:hAnsi="Cambria Math"/>
          </w:rPr>
          <m:t>Y</m:t>
        </m:r>
      </m:oMath>
      <w:r w:rsidR="005706BE">
        <w:rPr>
          <w:rFonts w:eastAsiaTheme="minorEastAsia"/>
        </w:rPr>
        <w:t xml:space="preserve"> denote the </w:t>
      </w:r>
      <m:oMath>
        <m:r>
          <w:rPr>
            <w:rFonts w:ascii="Cambria Math" w:eastAsiaTheme="minorEastAsia" w:hAnsi="Cambria Math"/>
          </w:rPr>
          <m:t xml:space="preserve">n </m:t>
        </m:r>
        <m:r>
          <m:rPr>
            <m:sty m:val="p"/>
          </m:rPr>
          <w:rPr>
            <w:rFonts w:ascii="Cambria Math" w:eastAsiaTheme="minorEastAsia" w:hAnsi="Cambria Math"/>
          </w:rPr>
          <m:t>×</m:t>
        </m:r>
        <m:r>
          <w:rPr>
            <w:rFonts w:ascii="Cambria Math" w:eastAsiaTheme="minorEastAsia" w:hAnsi="Cambria Math"/>
          </w:rPr>
          <m:t>1</m:t>
        </m:r>
      </m:oMath>
      <w:r w:rsidR="005706BE">
        <w:rPr>
          <w:rFonts w:eastAsiaTheme="minorEastAsia"/>
        </w:rPr>
        <w:t xml:space="preserve"> outcome variable. We assume that the microbiome mediates the effect of </w:t>
      </w:r>
      <m:oMath>
        <m:r>
          <m:rPr>
            <m:sty m:val="bi"/>
          </m:rPr>
          <w:rPr>
            <w:rFonts w:ascii="Cambria Math" w:eastAsiaTheme="minorEastAsia" w:hAnsi="Cambria Math"/>
          </w:rPr>
          <m:t>X</m:t>
        </m:r>
      </m:oMath>
      <w:r w:rsidR="005706BE">
        <w:rPr>
          <w:rFonts w:eastAsiaTheme="minorEastAsia"/>
        </w:rPr>
        <w:t xml:space="preserve"> on </w:t>
      </w:r>
      <m:oMath>
        <m:r>
          <m:rPr>
            <m:sty m:val="bi"/>
          </m:rPr>
          <w:rPr>
            <w:rFonts w:ascii="Cambria Math" w:eastAsiaTheme="minorEastAsia" w:hAnsi="Cambria Math"/>
          </w:rPr>
          <m:t>Y</m:t>
        </m:r>
      </m:oMath>
      <w:r w:rsidR="005706BE">
        <w:rPr>
          <w:rFonts w:eastAsiaTheme="minorEastAsia"/>
        </w:rPr>
        <w:t xml:space="preserve"> through some unknown set of microbiome feature vectors </w:t>
      </w:r>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oMath>
      <w:r w:rsidR="005706BE">
        <w:rPr>
          <w:rFonts w:eastAsiaTheme="minorEastAsia"/>
        </w:rPr>
        <w:t xml:space="preserve"> for </w:t>
      </w:r>
      <m:oMath>
        <m:r>
          <w:rPr>
            <w:rFonts w:ascii="Cambria Math" w:eastAsiaTheme="minorEastAsia" w:hAnsi="Cambria Math"/>
          </w:rPr>
          <m:t xml:space="preserve">l = 1, 2, </m:t>
        </m:r>
        <m:r>
          <m:rPr>
            <m:sty m:val="p"/>
          </m:rPr>
          <w:rPr>
            <w:rFonts w:ascii="Cambria Math" w:eastAsiaTheme="minorEastAsia" w:hAnsi="Cambria Math"/>
          </w:rPr>
          <m:t>…</m:t>
        </m:r>
        <m:r>
          <w:rPr>
            <w:rFonts w:ascii="Cambria Math" w:eastAsiaTheme="minorEastAsia" w:hAnsi="Cambria Math"/>
          </w:rPr>
          <m:t>, L.</m:t>
        </m:r>
      </m:oMath>
      <w:r w:rsidR="005706BE">
        <w:rPr>
          <w:rFonts w:eastAsiaTheme="minorEastAsia"/>
        </w:rPr>
        <w:t xml:space="preserve"> </w:t>
      </w:r>
      <w:r w:rsidR="005706BE" w:rsidRPr="005706BE">
        <w:rPr>
          <w:rFonts w:eastAsiaTheme="minorEastAsia"/>
        </w:rPr>
        <w:t>Due to the multivariate nature of the microbiome data, it is possible to have multiple microbiome features that mediate the effect</w:t>
      </w:r>
      <w:r w:rsidR="005706BE">
        <w:rPr>
          <w:rFonts w:eastAsiaTheme="minorEastAsia"/>
        </w:rPr>
        <w:t xml:space="preserve">. </w:t>
      </w:r>
    </w:p>
    <w:p w14:paraId="788D31D5" w14:textId="3DBDA779" w:rsidR="00182B79" w:rsidRDefault="005706BE" w:rsidP="00A850D2">
      <w:pPr>
        <w:pStyle w:val="Header"/>
        <w:spacing w:line="276" w:lineRule="auto"/>
        <w:jc w:val="both"/>
        <w:rPr>
          <w:rFonts w:eastAsiaTheme="minorEastAsia"/>
        </w:rPr>
      </w:pPr>
      <w:r>
        <w:rPr>
          <w:rFonts w:eastAsiaTheme="minorEastAsia"/>
        </w:rPr>
        <w:t xml:space="preserve">We assume the following mediation model. </w:t>
      </w:r>
    </w:p>
    <w:p w14:paraId="3541CBB6" w14:textId="497B4882" w:rsidR="00182B79" w:rsidRDefault="00182B79" w:rsidP="00A850D2">
      <w:pPr>
        <w:pStyle w:val="Header"/>
        <w:spacing w:line="276" w:lineRule="auto"/>
        <w:jc w:val="both"/>
        <w:rPr>
          <w:rFonts w:eastAsiaTheme="minorEastAsia"/>
        </w:rPr>
      </w:pPr>
    </w:p>
    <w:p w14:paraId="56BEE64F" w14:textId="219CD67F" w:rsidR="006726F5" w:rsidRPr="00182B79" w:rsidRDefault="00182B79" w:rsidP="00A850D2">
      <w:pPr>
        <w:pStyle w:val="Header"/>
        <w:spacing w:line="276" w:lineRule="auto"/>
        <w:jc w:val="both"/>
        <w:rPr>
          <w:rFonts w:eastAsiaTheme="minorEastAsia"/>
          <w:b/>
          <w:bCs/>
        </w:rPr>
      </w:pPr>
      <m:oMathPara>
        <m:oMath>
          <m:r>
            <m:rPr>
              <m:sty m:val="bi"/>
            </m:rPr>
            <w:rPr>
              <w:rFonts w:ascii="Cambria Math" w:eastAsiaTheme="minorEastAsia" w:hAnsi="Cambria Math"/>
            </w:rPr>
            <m:t>Y</m:t>
          </m:r>
          <m:r>
            <m:rPr>
              <m:aln/>
            </m:rPr>
            <w:rPr>
              <w:rFonts w:ascii="Cambria Math" w:eastAsiaTheme="minorEastAsia" w:hAnsi="Cambria Math"/>
            </w:rPr>
            <m:t>=</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 xml:space="preserve">+ </m:t>
          </m:r>
          <m:r>
            <m:rPr>
              <m:sty m:val="b"/>
            </m:rPr>
            <w:rPr>
              <w:rFonts w:ascii="Cambria Math" w:eastAsiaTheme="minorEastAsia" w:hAnsi="Cambria Math"/>
            </w:rPr>
            <m:t>ϵ,</m:t>
          </m:r>
          <m:r>
            <m:rPr>
              <m:sty m:val="p"/>
            </m:rPr>
            <w:rPr>
              <w:rFonts w:eastAsiaTheme="minorEastAsia"/>
            </w:rPr>
            <w:br/>
          </m:r>
        </m:oMath>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r>
            <m:rPr>
              <m:aln/>
            </m:rPr>
            <w:rPr>
              <w:rFonts w:ascii="Cambria Math" w:eastAsiaTheme="minorEastAsia" w:hAnsi="Cambria Math"/>
            </w:rPr>
            <m:t>=</m:t>
          </m:r>
          <m:r>
            <m:rPr>
              <m:sty m:val="bi"/>
            </m:rP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m:t>
          </m:r>
          <m:sSubSup>
            <m:sSubSupPr>
              <m:ctrlPr>
                <w:rPr>
                  <w:rFonts w:ascii="Cambria Math" w:eastAsiaTheme="minorEastAsia" w:hAnsi="Cambria Math"/>
                  <w:b/>
                  <w:bCs/>
                  <w:i/>
                </w:rPr>
              </m:ctrlPr>
            </m:sSubSupPr>
            <m:e>
              <m:r>
                <m:rPr>
                  <m:sty m:val="b"/>
                </m:rPr>
                <w:rPr>
                  <w:rFonts w:ascii="Cambria Math" w:eastAsiaTheme="minorEastAsia" w:hAnsi="Cambria Math"/>
                </w:rPr>
                <m:t>ϵ</m:t>
              </m:r>
            </m:e>
            <m:sub>
              <m:r>
                <m:rPr>
                  <m:sty m:val="bi"/>
                </m:rPr>
                <w:rPr>
                  <w:rFonts w:ascii="Cambria Math" w:eastAsiaTheme="minorEastAsia" w:hAnsi="Cambria Math"/>
                </w:rPr>
                <m:t>l</m:t>
              </m:r>
            </m:sub>
            <m:sup>
              <m:r>
                <m:rPr>
                  <m:sty m:val="b"/>
                </m:rPr>
                <w:rPr>
                  <w:rFonts w:ascii="Cambria Math" w:eastAsiaTheme="minorEastAsia" w:hAnsi="Cambria Math"/>
                </w:rPr>
                <m:t>'</m:t>
              </m:r>
            </m:sup>
          </m:sSubSup>
          <m:r>
            <m:rPr>
              <m:sty m:val="p"/>
            </m:rPr>
            <w:rPr>
              <w:rFonts w:ascii="Cambria Math" w:eastAsiaTheme="minorEastAsia" w:hAnsi="Cambria Math"/>
            </w:rPr>
            <m:t>,</m:t>
          </m:r>
          <m:r>
            <m:rPr>
              <m:sty m:val="p"/>
            </m:rPr>
            <w:rPr>
              <w:rFonts w:ascii="Cambria Math" w:eastAsiaTheme="minorEastAsia" w:hAnsi="Cambria Math"/>
            </w:rPr>
            <m:t> </m:t>
          </m:r>
          <m:d>
            <m:dPr>
              <m:begChr m:val="["/>
              <m:endChr m:val="]"/>
              <m:ctrlPr>
                <w:rPr>
                  <w:rFonts w:ascii="Cambria Math" w:eastAsiaTheme="minorEastAsia" w:hAnsi="Cambria Math"/>
                  <w:i/>
                </w:rPr>
              </m:ctrlPr>
            </m:dPr>
            <m:e>
              <m:r>
                <w:rPr>
                  <w:rFonts w:ascii="Cambria Math" w:eastAsiaTheme="minorEastAsia" w:hAnsi="Cambria Math"/>
                </w:rPr>
                <m:t>l=1,2,</m:t>
              </m:r>
              <m:r>
                <m:rPr>
                  <m:sty m:val="p"/>
                </m:rPr>
                <w:rPr>
                  <w:rFonts w:ascii="Cambria Math" w:eastAsiaTheme="minorEastAsia" w:hAnsi="Cambria Math"/>
                </w:rPr>
                <m:t>…</m:t>
              </m:r>
              <m:r>
                <w:rPr>
                  <w:rFonts w:ascii="Cambria Math" w:eastAsiaTheme="minorEastAsia" w:hAnsi="Cambria Math"/>
                </w:rPr>
                <m:t>,L</m:t>
              </m:r>
            </m:e>
          </m:d>
          <m:r>
            <m:rPr>
              <m:sty m:val="p"/>
            </m:rPr>
            <w:rPr>
              <w:rFonts w:eastAsiaTheme="minorEastAsia"/>
            </w:rPr>
            <w:br/>
          </m:r>
        </m:oMath>
        <m:oMath>
          <m:r>
            <m:rPr>
              <m:sty m:val="bi"/>
            </m:rPr>
            <w:rPr>
              <w:rFonts w:ascii="Cambria Math" w:eastAsiaTheme="minorEastAsia" w:hAnsi="Cambria Math"/>
            </w:rPr>
            <m:t>Y</m:t>
          </m:r>
          <m:r>
            <m:rPr>
              <m:aln/>
            </m:rP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ctrlPr>
                <w:rPr>
                  <w:rFonts w:ascii="Cambria Math" w:eastAsiaTheme="minorEastAsia" w:hAnsi="Cambria Math"/>
                  <w:i/>
                </w:rPr>
              </m:ctrlPr>
            </m:e>
          </m:nary>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γ+</m:t>
          </m:r>
          <m:sSup>
            <m:sSupPr>
              <m:ctrlPr>
                <w:rPr>
                  <w:rFonts w:ascii="Cambria Math" w:eastAsiaTheme="minorEastAsia" w:hAnsi="Cambria Math"/>
                  <w:b/>
                  <w:bCs/>
                  <w:i/>
                </w:rPr>
              </m:ctrlPr>
            </m:sSupPr>
            <m:e>
              <m:r>
                <m:rPr>
                  <m:sty m:val="bi"/>
                </m:rPr>
                <w:rPr>
                  <w:rFonts w:ascii="Cambria Math" w:eastAsiaTheme="minorEastAsia" w:hAnsi="Cambria Math"/>
                </w:rPr>
                <m:t>ϵ</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43766ABD" w14:textId="2BA44784" w:rsidR="00182B79" w:rsidRPr="00AD2166" w:rsidRDefault="00182B79" w:rsidP="00A850D2">
      <w:pPr>
        <w:pStyle w:val="Header"/>
        <w:spacing w:line="276" w:lineRule="auto"/>
        <w:jc w:val="both"/>
        <w:rPr>
          <w:rFonts w:eastAsiaTheme="minorEastAsia"/>
          <w:b/>
          <w:bCs/>
        </w:rPr>
      </w:pPr>
    </w:p>
    <w:p w14:paraId="7B5B3391" w14:textId="0EFEBF35" w:rsidR="00961BB1" w:rsidRDefault="001F407D" w:rsidP="00A850D2">
      <w:pPr>
        <w:pStyle w:val="Header"/>
        <w:spacing w:line="276" w:lineRule="auto"/>
        <w:jc w:val="both"/>
        <w:rPr>
          <w:rFonts w:eastAsiaTheme="minorEastAsia"/>
        </w:rPr>
      </w:pPr>
      <w:r>
        <w:rPr>
          <w:rFonts w:eastAsiaTheme="minorEastAsia"/>
        </w:rPr>
        <w:t>w</w:t>
      </w:r>
      <w:r w:rsidR="00AD2166">
        <w:rPr>
          <w:rFonts w:eastAsiaTheme="minorEastAsia"/>
        </w:rPr>
        <w:t xml:space="preserve">here </w:t>
      </w:r>
      <m:oMath>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m:t>
            </m:r>
          </m:sup>
        </m:sSup>
      </m:oMath>
      <w:r w:rsidR="00AD2166">
        <w:rPr>
          <w:rFonts w:eastAsiaTheme="minorEastAsia"/>
        </w:rPr>
        <w:t xml:space="preserve"> and </w:t>
      </w:r>
      <m:oMath>
        <m:r>
          <m:rPr>
            <m:sty m:val="p"/>
          </m:rPr>
          <w:rPr>
            <w:rFonts w:ascii="Cambria Math" w:eastAsiaTheme="minorEastAsia" w:hAnsi="Cambria Math"/>
          </w:rPr>
          <m:t>γ</m:t>
        </m:r>
      </m:oMath>
      <w:r w:rsidR="00AD2166">
        <w:rPr>
          <w:rFonts w:eastAsiaTheme="minorEastAsia"/>
        </w:rPr>
        <w:t xml:space="preserve"> represent the total and direct effects of </w:t>
      </w:r>
      <m:oMath>
        <m:r>
          <m:rPr>
            <m:sty m:val="bi"/>
          </m:rPr>
          <w:rPr>
            <w:rFonts w:ascii="Cambria Math" w:eastAsiaTheme="minorEastAsia" w:hAnsi="Cambria Math"/>
          </w:rPr>
          <m:t>X</m:t>
        </m:r>
      </m:oMath>
      <w:r w:rsidR="00AD2166">
        <w:rPr>
          <w:rFonts w:eastAsiaTheme="minorEastAsia"/>
        </w:rPr>
        <w:t xml:space="preserve"> on </w:t>
      </w:r>
      <m:oMath>
        <m:r>
          <m:rPr>
            <m:sty m:val="bi"/>
          </m:rPr>
          <w:rPr>
            <w:rFonts w:ascii="Cambria Math" w:eastAsiaTheme="minorEastAsia" w:hAnsi="Cambria Math"/>
          </w:rPr>
          <m:t>Y</m:t>
        </m:r>
      </m:oMath>
      <w:r w:rsidR="00AD2166">
        <w:rPr>
          <w:rFonts w:eastAsiaTheme="minorEastAsia"/>
        </w:rPr>
        <w:t xml:space="preserve"> respectively; </w:t>
      </w:r>
      <m:oMath>
        <m:r>
          <m:rPr>
            <m:sty m:val="bi"/>
          </m:rPr>
          <w:rPr>
            <w:rFonts w:ascii="Cambria Math" w:eastAsiaTheme="minorEastAsia" w:hAnsi="Cambria Math"/>
          </w:rPr>
          <m:t>ϵ,</m:t>
        </m:r>
        <m:sSup>
          <m:sSupPr>
            <m:ctrlPr>
              <w:rPr>
                <w:rFonts w:ascii="Cambria Math" w:eastAsiaTheme="minorEastAsia" w:hAnsi="Cambria Math"/>
                <w:b/>
                <w:bCs/>
                <w:i/>
                <w:iCs/>
              </w:rPr>
            </m:ctrlPr>
          </m:sSupPr>
          <m:e>
            <m:r>
              <m:rPr>
                <m:sty m:val="bi"/>
              </m:rPr>
              <w:rPr>
                <w:rFonts w:ascii="Cambria Math" w:eastAsiaTheme="minorEastAsia" w:hAnsi="Cambria Math"/>
              </w:rPr>
              <m:t>ϵ</m:t>
            </m:r>
          </m:e>
          <m:sup>
            <m:r>
              <m:rPr>
                <m:sty m:val="bi"/>
              </m:rPr>
              <w:rPr>
                <w:rFonts w:ascii="Cambria Math" w:eastAsiaTheme="minorEastAsia" w:hAnsi="Cambria Math"/>
              </w:rPr>
              <m:t>'</m:t>
            </m:r>
          </m:sup>
        </m:sSup>
      </m:oMath>
      <w:r w:rsidR="00AD2166">
        <w:rPr>
          <w:rFonts w:eastAsiaTheme="minorEastAsia"/>
        </w:rPr>
        <w:t xml:space="preserve"> and </w:t>
      </w:r>
      <m:oMath>
        <m:sSup>
          <m:sSupPr>
            <m:ctrlPr>
              <w:rPr>
                <w:rFonts w:ascii="Cambria Math" w:eastAsiaTheme="minorEastAsia" w:hAnsi="Cambria Math"/>
                <w:b/>
                <w:bCs/>
                <w:i/>
              </w:rPr>
            </m:ctrlPr>
          </m:sSupPr>
          <m:e>
            <m:r>
              <m:rPr>
                <m:sty m:val="bi"/>
              </m:rPr>
              <w:rPr>
                <w:rFonts w:ascii="Cambria Math" w:eastAsiaTheme="minorEastAsia" w:hAnsi="Cambria Math"/>
              </w:rPr>
              <m:t>ϵ</m:t>
            </m:r>
          </m:e>
          <m:sup>
            <m:r>
              <m:rPr>
                <m:sty m:val="bi"/>
              </m:rPr>
              <w:rPr>
                <w:rFonts w:ascii="Cambria Math" w:eastAsiaTheme="minorEastAsia" w:hAnsi="Cambria Math"/>
              </w:rPr>
              <m:t>''</m:t>
            </m:r>
          </m:sup>
        </m:sSup>
      </m:oMath>
      <w:r w:rsidR="00AD2166">
        <w:rPr>
          <w:rFonts w:eastAsiaTheme="minorEastAsia"/>
        </w:rPr>
        <w:t xml:space="preserve"> are independent white noise vectors. </w:t>
      </w:r>
      <w:r w:rsidR="003D144A">
        <w:rPr>
          <w:rFonts w:eastAsiaTheme="minorEastAsia"/>
        </w:rPr>
        <w:t xml:space="preserve">Figure 1 provides a graphical representation of the model presented above. </w:t>
      </w:r>
      <w:r w:rsidR="00961BB1">
        <w:rPr>
          <w:rFonts w:eastAsiaTheme="minorEastAsia"/>
        </w:rPr>
        <w:t xml:space="preserve">To establish a mediation pathway from </w:t>
      </w:r>
      <m:oMath>
        <m:r>
          <m:rPr>
            <m:sty m:val="bi"/>
          </m:rPr>
          <w:rPr>
            <w:rFonts w:ascii="Cambria Math" w:eastAsiaTheme="minorEastAsia" w:hAnsi="Cambria Math"/>
          </w:rPr>
          <m:t>X</m:t>
        </m:r>
      </m:oMath>
      <w:r w:rsidR="00961BB1">
        <w:rPr>
          <w:rFonts w:eastAsiaTheme="minorEastAsia"/>
        </w:rPr>
        <w:t xml:space="preserve"> to </w:t>
      </w:r>
      <m:oMath>
        <m:r>
          <m:rPr>
            <m:sty m:val="bi"/>
          </m:rPr>
          <w:rPr>
            <w:rFonts w:ascii="Cambria Math" w:eastAsiaTheme="minorEastAsia" w:hAnsi="Cambria Math"/>
          </w:rPr>
          <m:t>Y</m:t>
        </m:r>
      </m:oMath>
      <w:r w:rsidR="00961BB1">
        <w:rPr>
          <w:rFonts w:eastAsiaTheme="minorEastAsia"/>
        </w:rPr>
        <w:t xml:space="preserve"> along the microbiome feature vectors</w:t>
      </w:r>
      <w:r w:rsidR="00961BB1" w:rsidRPr="00961BB1">
        <w:rPr>
          <w:rFonts w:eastAsiaTheme="minorEastAsia"/>
          <w:b/>
          <w:bCs/>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oMath>
      <w:r w:rsidR="0047760B">
        <w:rPr>
          <w:rFonts w:eastAsiaTheme="minorEastAsia"/>
        </w:rPr>
        <w:t>, we need to investigate whether there is a significa</w:t>
      </w:r>
      <w:proofErr w:type="spellStart"/>
      <w:r w:rsidR="0047760B">
        <w:rPr>
          <w:rFonts w:eastAsiaTheme="minorEastAsia"/>
        </w:rPr>
        <w:t>nt</w:t>
      </w:r>
      <w:proofErr w:type="spellEnd"/>
      <w:r w:rsidR="0047760B">
        <w:rPr>
          <w:rFonts w:eastAsiaTheme="minorEastAsia"/>
        </w:rPr>
        <w:t xml:space="preserve"> relation of </w:t>
      </w:r>
      <m:oMath>
        <m:r>
          <m:rPr>
            <m:sty m:val="bi"/>
          </m:rPr>
          <w:rPr>
            <w:rFonts w:ascii="Cambria Math" w:eastAsiaTheme="minorEastAsia" w:hAnsi="Cambria Math"/>
          </w:rPr>
          <m:t>X</m:t>
        </m:r>
      </m:oMath>
      <w:r w:rsidR="0047760B">
        <w:rPr>
          <w:rFonts w:eastAsiaTheme="minorEastAsia"/>
        </w:rPr>
        <w:t xml:space="preserve"> to some mediating feature </w:t>
      </w:r>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oMath>
      <w:r w:rsidR="0047760B">
        <w:rPr>
          <w:rFonts w:eastAsiaTheme="minorEastAsia"/>
          <w:b/>
          <w:bCs/>
        </w:rPr>
        <w:t xml:space="preserve"> </w:t>
      </w:r>
      <w:r w:rsidR="0047760B" w:rsidRPr="0047760B">
        <w:rPr>
          <w:rFonts w:eastAsiaTheme="minorEastAsia"/>
        </w:rPr>
        <w:t xml:space="preserve">and whether the mediating variable </w:t>
      </w:r>
      <m:oMath>
        <m:sSubSup>
          <m:sSubSupPr>
            <m:ctrlPr>
              <w:rPr>
                <w:rFonts w:ascii="Cambria Math" w:eastAsiaTheme="minorEastAsia" w:hAnsi="Cambria Math"/>
                <w:b/>
                <w:bCs/>
                <w:i/>
              </w:rPr>
            </m:ctrlPr>
          </m:sSubSupPr>
          <m:e>
            <m:r>
              <m:rPr>
                <m:sty m:val="bi"/>
              </m:rPr>
              <w:rPr>
                <w:rFonts w:ascii="Cambria Math" w:eastAsiaTheme="minorEastAsia" w:hAnsi="Cambria Math"/>
              </w:rPr>
              <m:t>f</m:t>
            </m:r>
          </m:e>
          <m:sub>
            <m:r>
              <m:rPr>
                <m:sty m:val="bi"/>
              </m:rPr>
              <w:rPr>
                <w:rFonts w:ascii="Cambria Math" w:eastAsiaTheme="minorEastAsia" w:hAnsi="Cambria Math"/>
              </w:rPr>
              <m:t>M</m:t>
            </m:r>
          </m:sub>
          <m:sup>
            <m:d>
              <m:dPr>
                <m:ctrlPr>
                  <w:rPr>
                    <w:rFonts w:ascii="Cambria Math" w:eastAsiaTheme="minorEastAsia" w:hAnsi="Cambria Math"/>
                    <w:b/>
                    <w:bCs/>
                    <w:i/>
                  </w:rPr>
                </m:ctrlPr>
              </m:dPr>
              <m:e>
                <m:r>
                  <m:rPr>
                    <m:sty m:val="bi"/>
                  </m:rPr>
                  <w:rPr>
                    <w:rFonts w:ascii="Cambria Math" w:eastAsiaTheme="minorEastAsia" w:hAnsi="Cambria Math"/>
                  </w:rPr>
                  <m:t>l</m:t>
                </m:r>
              </m:e>
            </m:d>
          </m:sup>
        </m:sSubSup>
      </m:oMath>
      <w:r w:rsidR="0047760B" w:rsidRPr="0047760B">
        <w:rPr>
          <w:rFonts w:eastAsiaTheme="minorEastAsia"/>
        </w:rPr>
        <w:t xml:space="preserve"> is significantly related to the dependent variable </w:t>
      </w:r>
      <m:oMath>
        <m:r>
          <m:rPr>
            <m:sty m:val="bi"/>
          </m:rPr>
          <w:rPr>
            <w:rFonts w:ascii="Cambria Math" w:eastAsiaTheme="minorEastAsia" w:hAnsi="Cambria Math"/>
          </w:rPr>
          <m:t>Y</m:t>
        </m:r>
      </m:oMath>
      <w:r w:rsidR="0047760B">
        <w:rPr>
          <w:rFonts w:eastAsiaTheme="minorEastAsia"/>
          <w:b/>
          <w:bCs/>
        </w:rPr>
        <w:t xml:space="preserve">, </w:t>
      </w:r>
      <w:r w:rsidR="0047760B">
        <w:rPr>
          <w:rFonts w:eastAsiaTheme="minorEastAsia"/>
        </w:rPr>
        <w:t xml:space="preserve">when adjusted for variation in </w:t>
      </w:r>
      <m:oMath>
        <m:r>
          <m:rPr>
            <m:sty m:val="bi"/>
          </m:rPr>
          <w:rPr>
            <w:rFonts w:ascii="Cambria Math" w:eastAsiaTheme="minorEastAsia" w:hAnsi="Cambria Math"/>
          </w:rPr>
          <m:t>X.</m:t>
        </m:r>
      </m:oMath>
      <w:r w:rsidR="0068387C">
        <w:rPr>
          <w:rFonts w:eastAsiaTheme="minorEastAsia"/>
          <w:b/>
          <w:bCs/>
        </w:rPr>
        <w:t xml:space="preserve"> </w:t>
      </w:r>
      <w:r w:rsidR="0068387C">
        <w:rPr>
          <w:rFonts w:eastAsiaTheme="minorEastAsia"/>
        </w:rPr>
        <w:t xml:space="preserve">The null hypothesis may be expressed as </w:t>
      </w:r>
    </w:p>
    <w:p w14:paraId="5DFA1597" w14:textId="77777777" w:rsidR="0068387C" w:rsidRDefault="0068387C" w:rsidP="00A850D2">
      <w:pPr>
        <w:pStyle w:val="Header"/>
        <w:spacing w:line="276" w:lineRule="auto"/>
        <w:jc w:val="both"/>
        <w:rPr>
          <w:rFonts w:eastAsiaTheme="minorEastAsia"/>
        </w:rPr>
      </w:pPr>
    </w:p>
    <w:p w14:paraId="307DF07D" w14:textId="06F655FB" w:rsidR="0068387C" w:rsidRPr="0068387C" w:rsidRDefault="00AC7D7E" w:rsidP="00A850D2">
      <w:pPr>
        <w:pStyle w:val="Header"/>
        <w:spacing w:line="276"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 xml:space="preserve">=0      </m:t>
          </m:r>
          <m:r>
            <m:rPr>
              <m:sty m:val="p"/>
            </m:rPr>
            <w:rPr>
              <w:rFonts w:ascii="Cambria Math" w:eastAsiaTheme="minorEastAsia" w:hAnsi="Cambria Math"/>
            </w:rPr>
            <m:t xml:space="preserve">∀ </m:t>
          </m:r>
          <m:r>
            <w:rPr>
              <w:rFonts w:ascii="Cambria Math" w:eastAsiaTheme="minorEastAsia" w:hAnsi="Cambria Math"/>
            </w:rPr>
            <m:t>l</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,L,</m:t>
          </m:r>
        </m:oMath>
      </m:oMathPara>
    </w:p>
    <w:p w14:paraId="334D285F" w14:textId="77777777" w:rsidR="0068387C" w:rsidRPr="0068387C" w:rsidRDefault="0068387C" w:rsidP="00A850D2">
      <w:pPr>
        <w:pStyle w:val="Header"/>
        <w:spacing w:line="276" w:lineRule="auto"/>
        <w:jc w:val="both"/>
        <w:rPr>
          <w:rFonts w:eastAsiaTheme="minorEastAsia"/>
        </w:rPr>
      </w:pPr>
    </w:p>
    <w:p w14:paraId="14E6C519" w14:textId="6494FDC0" w:rsidR="0068387C" w:rsidRDefault="0068387C" w:rsidP="00A850D2">
      <w:pPr>
        <w:pStyle w:val="Header"/>
        <w:spacing w:line="276" w:lineRule="auto"/>
        <w:jc w:val="both"/>
        <w:rPr>
          <w:rFonts w:eastAsiaTheme="minorEastAsia"/>
        </w:rPr>
      </w:pPr>
      <w:r>
        <w:rPr>
          <w:rFonts w:eastAsiaTheme="minorEastAsia"/>
        </w:rPr>
        <w:t xml:space="preserve">and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Pr>
          <w:rFonts w:eastAsiaTheme="minorEastAsia"/>
        </w:rPr>
        <w:t xml:space="preserve"> is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violated for some </w:t>
      </w:r>
      <m:oMath>
        <m:r>
          <w:rPr>
            <w:rFonts w:ascii="Cambria Math" w:eastAsiaTheme="minorEastAsia" w:hAnsi="Cambria Math"/>
          </w:rPr>
          <m:t>l</m:t>
        </m:r>
        <m:r>
          <m:rPr>
            <m:sty m:val="p"/>
          </m:rPr>
          <w:rPr>
            <w:rFonts w:ascii="Cambria Math" w:eastAsiaTheme="minorEastAsia" w:hAnsi="Cambria Math"/>
          </w:rPr>
          <m:t>∈</m:t>
        </m:r>
        <m:r>
          <w:rPr>
            <w:rFonts w:ascii="Cambria Math" w:eastAsiaTheme="minorEastAsia" w:hAnsi="Cambria Math"/>
          </w:rPr>
          <m:t>1,2,</m:t>
        </m:r>
        <m:r>
          <m:rPr>
            <m:sty m:val="p"/>
          </m:rPr>
          <w:rPr>
            <w:rFonts w:ascii="Cambria Math" w:eastAsiaTheme="minorEastAsia" w:hAnsi="Cambria Math"/>
          </w:rPr>
          <m:t>…</m:t>
        </m:r>
        <m:r>
          <w:rPr>
            <w:rFonts w:ascii="Cambria Math" w:eastAsiaTheme="minorEastAsia" w:hAnsi="Cambria Math"/>
          </w:rPr>
          <m:t>,L.</m:t>
        </m:r>
      </m:oMath>
    </w:p>
    <w:p w14:paraId="413F48C7" w14:textId="33D7E152" w:rsidR="0068387C" w:rsidRDefault="0068387C" w:rsidP="00A850D2">
      <w:pPr>
        <w:pStyle w:val="Header"/>
        <w:spacing w:line="276" w:lineRule="auto"/>
        <w:jc w:val="both"/>
        <w:rPr>
          <w:rFonts w:eastAsiaTheme="minorEastAsia"/>
        </w:rPr>
      </w:pPr>
    </w:p>
    <w:p w14:paraId="48B36E52" w14:textId="1051749B" w:rsidR="0047760B" w:rsidRPr="00EC6581" w:rsidRDefault="0068387C" w:rsidP="00A850D2">
      <w:pPr>
        <w:pStyle w:val="Header"/>
        <w:spacing w:line="276" w:lineRule="auto"/>
        <w:jc w:val="both"/>
        <w:rPr>
          <w:rFonts w:eastAsiaTheme="minorEastAsia"/>
          <w:b/>
          <w:bCs/>
          <w:i/>
          <w:iCs/>
        </w:rPr>
      </w:pPr>
      <w:r w:rsidRPr="00EC6581">
        <w:rPr>
          <w:rFonts w:eastAsiaTheme="minorEastAsia"/>
          <w:b/>
          <w:bCs/>
          <w:i/>
          <w:iCs/>
        </w:rPr>
        <w:t>2.2. A distance</w:t>
      </w:r>
      <w:r w:rsidR="00110D78" w:rsidRPr="00EC6581">
        <w:rPr>
          <w:rFonts w:eastAsiaTheme="minorEastAsia"/>
          <w:b/>
          <w:bCs/>
          <w:i/>
          <w:iCs/>
        </w:rPr>
        <w:t>-</w:t>
      </w:r>
      <w:r w:rsidRPr="00EC6581">
        <w:rPr>
          <w:rFonts w:eastAsiaTheme="minorEastAsia"/>
          <w:b/>
          <w:bCs/>
          <w:i/>
          <w:iCs/>
        </w:rPr>
        <w:t>based test for mediation</w:t>
      </w:r>
    </w:p>
    <w:p w14:paraId="1FF32591" w14:textId="1F49CD22" w:rsidR="007C6EC0" w:rsidRPr="007C6EC0" w:rsidRDefault="007C6EC0" w:rsidP="00A850D2">
      <w:pPr>
        <w:pStyle w:val="Header"/>
        <w:spacing w:line="276" w:lineRule="auto"/>
        <w:jc w:val="both"/>
        <w:rPr>
          <w:rFonts w:eastAsiaTheme="minorEastAsia"/>
        </w:rPr>
      </w:pPr>
      <w:r>
        <w:rPr>
          <w:rFonts w:eastAsiaTheme="minorEastAsia"/>
        </w:rPr>
        <w:lastRenderedPageBreak/>
        <w:t xml:space="preserve">Had the microbiome feature vectors been known, </w:t>
      </w:r>
      <w:r w:rsidRPr="007C6EC0">
        <w:rPr>
          <w:rFonts w:eastAsiaTheme="minorEastAsia"/>
        </w:rPr>
        <w:t>we could apply traditional mediation tests</w:t>
      </w:r>
      <w:r>
        <w:rPr>
          <w:rFonts w:eastAsiaTheme="minorEastAsia"/>
        </w:rPr>
        <w:t xml:space="preserve">. </w:t>
      </w:r>
      <w:r w:rsidRPr="007C6EC0">
        <w:rPr>
          <w:rFonts w:eastAsiaTheme="minorEastAsia"/>
        </w:rPr>
        <w:t>In practice, we have little knowledge about the specific microbiome features that mediate the effect. The power of the mediation test thus relies on a good choice of microbiome features that capture the mediation relationship as precisely as possible. One simple strategy is to treat the abundance of each OTU as the microbiome feature, perform tests on all the OTUs and apply Bonferroni correction to control the FWER. However, due to the extreme sparsity in the OTU data, individual tests are usually underpowered. To enrich signals and reduce multiple testing burden, community-level analysis, which considers all OTUs jointly, has been proposed to improve the power</w:t>
      </w:r>
      <w:r>
        <w:rPr>
          <w:rFonts w:eastAsiaTheme="minorEastAsia"/>
        </w:rPr>
        <w:t xml:space="preserve"> </w:t>
      </w:r>
      <w:r>
        <w:rPr>
          <w:rFonts w:eastAsiaTheme="minorEastAsia"/>
        </w:rPr>
        <w:fldChar w:fldCharType="begin"/>
      </w:r>
      <w:r>
        <w:rPr>
          <w:rFonts w:eastAsiaTheme="minorEastAsia"/>
        </w:rPr>
        <w:instrText xml:space="preserve"> ADDIN ZOTERO_ITEM CSL_CITATION {"citationID":"i7iN7kO5","properties":{"formattedCitation":"(Zhao et al., 2015)","plainCitation":"(Zhao et al., 2015)","noteIndex":0},"citationItems":[{"id":340,"uris":["http://zotero.org/users/6647948/items/W9JDZLMI"],"uri":["http://zotero.org/users/6647948/items/W9JDZLMI"],"itemData":{"id":340,"type":"article-journal","container-title":"The American Journal of Human Genetics","DOI":"10.1016/j.ajhg.2015.04.003","ISSN":"00029297","issue":"5","journalAbbreviation":"The American Journal of Human Genetics","language":"en","page":"797-807","source":"DOI.org (Crossref)","title":"Testing in Microbiome-Profiling Studies with MiRKAT, the Microbiome Regression-Based Kernel Association Test","volume":"96","author":[{"family":"Zhao","given":"Ni"},{"family":"Chen","given":"Jun"},{"family":"Carroll","given":"Ian M."},{"family":"Ringel-Kulka","given":"Tamar"},{"family":"Epstein","given":"Michael P."},{"family":"Zhou","given":"Hua"},{"family":"Zhou","given":"Jin J."},{"family":"Ringel","given":"Yehuda"},{"family":"Li","given":"Hongzhe"},{"family":"Wu","given":"Michael C."}],"issued":{"date-parts":[["2015",5]]}}}],"schema":"https://github.com/citation-style-language/schema/raw/master/csl-citation.json"} </w:instrText>
      </w:r>
      <w:r>
        <w:rPr>
          <w:rFonts w:eastAsiaTheme="minorEastAsia"/>
        </w:rPr>
        <w:fldChar w:fldCharType="separate"/>
      </w:r>
      <w:r>
        <w:rPr>
          <w:rFonts w:eastAsiaTheme="minorEastAsia"/>
          <w:noProof/>
        </w:rPr>
        <w:t>(Zhao et al., 2015)</w:t>
      </w:r>
      <w:r>
        <w:rPr>
          <w:rFonts w:eastAsiaTheme="minorEastAsia"/>
        </w:rPr>
        <w:fldChar w:fldCharType="end"/>
      </w:r>
      <w:r>
        <w:rPr>
          <w:rFonts w:eastAsiaTheme="minorEastAsia"/>
        </w:rPr>
        <w:t xml:space="preserve">. </w:t>
      </w:r>
    </w:p>
    <w:p w14:paraId="32622FDC" w14:textId="77777777" w:rsidR="0047760B" w:rsidRPr="0047760B" w:rsidRDefault="0047760B" w:rsidP="00A850D2">
      <w:pPr>
        <w:pStyle w:val="Header"/>
        <w:spacing w:line="276" w:lineRule="auto"/>
        <w:jc w:val="both"/>
        <w:rPr>
          <w:rFonts w:eastAsiaTheme="minorEastAsia"/>
        </w:rPr>
      </w:pPr>
    </w:p>
    <w:p w14:paraId="0D1429AE" w14:textId="7EF6C856" w:rsidR="00961BB1" w:rsidRDefault="00BC55A1" w:rsidP="00A850D2">
      <w:pPr>
        <w:pStyle w:val="Header"/>
        <w:spacing w:line="276" w:lineRule="auto"/>
        <w:jc w:val="both"/>
        <w:rPr>
          <w:rFonts w:eastAsiaTheme="minorEastAsia"/>
        </w:rPr>
      </w:pPr>
      <w:r>
        <w:rPr>
          <w:rFonts w:eastAsiaTheme="minorEastAsia"/>
        </w:rPr>
        <w:t xml:space="preserve">Given the nature of microbiota, </w:t>
      </w:r>
      <w:r w:rsidRPr="00BC55A1">
        <w:rPr>
          <w:rFonts w:eastAsiaTheme="minorEastAsia"/>
        </w:rPr>
        <w:t>we are interested in defining the microbiome features based on the phylogenetic tree of OTUs.</w:t>
      </w:r>
      <w:r>
        <w:rPr>
          <w:rFonts w:eastAsiaTheme="minorEastAsia"/>
        </w:rPr>
        <w:t xml:space="preserve"> </w:t>
      </w:r>
      <w:r w:rsidRPr="00BC55A1">
        <w:rPr>
          <w:rFonts w:eastAsiaTheme="minorEastAsia"/>
        </w:rPr>
        <w:t xml:space="preserve">Environmental exposure or disease usually affects a cluster of phylogenetically related OTUs, which share a similar biological function. To accommodate the tree structure, we propose to form </w:t>
      </w:r>
      <w:r>
        <w:rPr>
          <w:rFonts w:eastAsiaTheme="minorEastAsia"/>
        </w:rPr>
        <w:t>feature vectors while</w:t>
      </w:r>
      <w:r w:rsidRPr="00BC55A1">
        <w:rPr>
          <w:rFonts w:eastAsiaTheme="minorEastAsia"/>
        </w:rPr>
        <w:t xml:space="preserve"> respecting the tree structure so that the PCs could capture the variation of evolutionarily related OTUs. One way to achieve this is through principal coordinate analysis</w:t>
      </w:r>
      <w:r w:rsidR="00E048A4">
        <w:rPr>
          <w:rFonts w:eastAsiaTheme="minorEastAsia"/>
        </w:rPr>
        <w:t xml:space="preserve"> </w:t>
      </w:r>
      <w:r w:rsidR="00E048A4">
        <w:rPr>
          <w:rFonts w:eastAsiaTheme="minorEastAsia"/>
        </w:rPr>
        <w:fldChar w:fldCharType="begin"/>
      </w:r>
      <w:r w:rsidR="00E048A4">
        <w:rPr>
          <w:rFonts w:eastAsiaTheme="minorEastAsia"/>
        </w:rPr>
        <w:instrText xml:space="preserve"> ADDIN ZOTERO_ITEM CSL_CITATION {"citationID":"brKvFz3J","properties":{"formattedCitation":"(Jolliffe &amp; Cadima, 2016)","plainCitation":"(Jolliffe &amp; Cadima, 2016)","noteIndex":0},"citationItems":[{"id":344,"uris":["http://zotero.org/users/6647948/items/JPDRP4K4"],"uri":["http://zotero.org/users/6647948/items/JPDRP4K4"],"itemData":{"id":344,"type":"article-journal","abstract":"Large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not\n              a priori\n              ,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application.","container-title":"Philosophical Transactions of the Royal Society A: Mathematical, Physical and Engineering Sciences","DOI":"10.1098/rsta.2015.0202","ISSN":"1364-503X, 1471-2962","issue":"2065","journalAbbreviation":"Phil. Trans. R. Soc. A.","language":"en","page":"20150202","source":"DOI.org (Crossref)","title":"Principal component analysis: a review and recent developments","title-short":"Principal component analysis","volume":"374","author":[{"family":"Jolliffe","given":"Ian T."},{"family":"Cadima","given":"Jorge"}],"issued":{"date-parts":[["2016",4,13]]}}}],"schema":"https://github.com/citation-style-language/schema/raw/master/csl-citation.json"} </w:instrText>
      </w:r>
      <w:r w:rsidR="00E048A4">
        <w:rPr>
          <w:rFonts w:eastAsiaTheme="minorEastAsia"/>
        </w:rPr>
        <w:fldChar w:fldCharType="separate"/>
      </w:r>
      <w:r w:rsidR="00E048A4">
        <w:rPr>
          <w:rFonts w:eastAsiaTheme="minorEastAsia"/>
          <w:noProof/>
        </w:rPr>
        <w:t>(Jolliffe &amp; Cadima, 2016)</w:t>
      </w:r>
      <w:r w:rsidR="00E048A4">
        <w:rPr>
          <w:rFonts w:eastAsiaTheme="minorEastAsia"/>
        </w:rPr>
        <w:fldChar w:fldCharType="end"/>
      </w:r>
      <w:r w:rsidR="009F350A">
        <w:rPr>
          <w:rFonts w:eastAsiaTheme="minorEastAsia"/>
        </w:rPr>
        <w:t xml:space="preserve"> </w:t>
      </w:r>
      <w:r w:rsidR="009F350A" w:rsidRPr="009F350A">
        <w:rPr>
          <w:rFonts w:eastAsiaTheme="minorEastAsia"/>
        </w:rPr>
        <w:t>o</w:t>
      </w:r>
      <w:r w:rsidR="009F350A">
        <w:rPr>
          <w:rFonts w:eastAsiaTheme="minorEastAsia"/>
        </w:rPr>
        <w:t>f</w:t>
      </w:r>
      <w:r w:rsidR="009F350A" w:rsidRPr="009F350A">
        <w:rPr>
          <w:rFonts w:eastAsiaTheme="minorEastAsia"/>
        </w:rPr>
        <w:t xml:space="preserve"> a distance matrix, where the distance incorporates the tree structure information</w:t>
      </w:r>
      <w:r w:rsidR="009F350A">
        <w:rPr>
          <w:rFonts w:eastAsiaTheme="minorEastAsia"/>
        </w:rPr>
        <w:t xml:space="preserve">. </w:t>
      </w:r>
    </w:p>
    <w:p w14:paraId="5C707677" w14:textId="617D8A5F" w:rsidR="00793341" w:rsidRDefault="00793341" w:rsidP="00A850D2">
      <w:pPr>
        <w:pStyle w:val="Header"/>
        <w:spacing w:line="276" w:lineRule="auto"/>
        <w:jc w:val="both"/>
        <w:rPr>
          <w:rFonts w:eastAsiaTheme="minorEastAsia"/>
        </w:rPr>
      </w:pPr>
    </w:p>
    <w:p w14:paraId="283241DE" w14:textId="3EC7F98C" w:rsidR="00793341" w:rsidRDefault="00793341" w:rsidP="00A850D2">
      <w:pPr>
        <w:pStyle w:val="Header"/>
        <w:spacing w:line="276" w:lineRule="auto"/>
        <w:jc w:val="both"/>
        <w:rPr>
          <w:rFonts w:eastAsiaTheme="minorEastAsia"/>
        </w:rPr>
      </w:pPr>
      <w:r>
        <w:rPr>
          <w:rFonts w:eastAsiaTheme="minorEastAsia"/>
        </w:rPr>
        <w:t>The authors</w:t>
      </w:r>
      <w:r w:rsidRPr="00793341">
        <w:rPr>
          <w:rFonts w:eastAsiaTheme="minorEastAsia"/>
        </w:rPr>
        <w:t xml:space="preserve"> </w:t>
      </w:r>
      <w:r>
        <w:rPr>
          <w:rFonts w:eastAsiaTheme="minorEastAsia"/>
        </w:rPr>
        <w:t>thus propose</w:t>
      </w:r>
      <w:r w:rsidRPr="00793341">
        <w:rPr>
          <w:rFonts w:eastAsiaTheme="minorEastAsia"/>
        </w:rPr>
        <w:t xml:space="preserve"> a distance-based non-parametric method to test the mediation effects. The test consists of two parts: a distance-based test statistic and a permutation scheme to approximate the distribution under the null. </w:t>
      </w:r>
      <w:r>
        <w:rPr>
          <w:rFonts w:eastAsiaTheme="minorEastAsia"/>
        </w:rPr>
        <w:t xml:space="preserve">Let </w:t>
      </w:r>
      <m:oMath>
        <m:r>
          <m:rPr>
            <m:sty m:val="bi"/>
          </m:rPr>
          <w:rPr>
            <w:rFonts w:ascii="Cambria Math" w:eastAsiaTheme="minorEastAsia" w:hAnsi="Cambria Math"/>
          </w:rPr>
          <m:t>D</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sup>
        </m:sSup>
      </m:oMath>
      <w:r>
        <w:rPr>
          <w:rFonts w:eastAsiaTheme="minorEastAsia"/>
        </w:rPr>
        <w:t xml:space="preserve"> be the distance </w:t>
      </w:r>
      <w:r w:rsidRPr="00793341">
        <w:rPr>
          <w:rFonts w:eastAsiaTheme="minorEastAsia"/>
        </w:rPr>
        <w:t>be the distance matrix that measures the dissimilarity between the samples based on their microbiota profiles. The microbiome features could be formed by performing eigen-decompos</w:t>
      </w:r>
      <w:r>
        <w:rPr>
          <w:rFonts w:eastAsiaTheme="minorEastAsia"/>
        </w:rPr>
        <w:t>i</w:t>
      </w:r>
      <w:r w:rsidRPr="00793341">
        <w:rPr>
          <w:rFonts w:eastAsiaTheme="minorEastAsia"/>
        </w:rPr>
        <w:t>tion on the double cent</w:t>
      </w:r>
      <w:r>
        <w:rPr>
          <w:rFonts w:eastAsiaTheme="minorEastAsia"/>
        </w:rPr>
        <w:t>red</w:t>
      </w:r>
      <w:r w:rsidRPr="00793341">
        <w:rPr>
          <w:rFonts w:eastAsiaTheme="minorEastAsia"/>
        </w:rPr>
        <w:t xml:space="preserve"> matrix of squared distances, which is defined as</w:t>
      </w:r>
      <w:r w:rsidR="004F0753">
        <w:rPr>
          <w:rFonts w:eastAsiaTheme="minorEastAsia"/>
        </w:rPr>
        <w:t xml:space="preserve"> </w:t>
      </w:r>
    </w:p>
    <w:p w14:paraId="2DFBD9DB" w14:textId="31E17BC1" w:rsidR="004F0753" w:rsidRDefault="004F0753" w:rsidP="00A850D2">
      <w:pPr>
        <w:pStyle w:val="Header"/>
        <w:spacing w:line="276" w:lineRule="auto"/>
        <w:jc w:val="both"/>
        <w:rPr>
          <w:rFonts w:eastAsiaTheme="minorEastAsia"/>
        </w:rPr>
      </w:pPr>
    </w:p>
    <w:p w14:paraId="325562BF" w14:textId="58FCC7EA" w:rsidR="004F0753" w:rsidRDefault="000A4E82" w:rsidP="00A850D2">
      <w:pPr>
        <w:pStyle w:val="Header"/>
        <w:spacing w:line="276" w:lineRule="auto"/>
        <w:jc w:val="center"/>
        <w:rPr>
          <w:rFonts w:eastAsiaTheme="minorEastAsia"/>
        </w:rPr>
      </w:pPr>
      <m:oMath>
        <m:r>
          <m:rPr>
            <m:sty m:val="bi"/>
          </m:rPr>
          <w:rPr>
            <w:rFonts w:ascii="Cambria Math" w:eastAsiaTheme="minorEastAsia" w:hAnsi="Cambria Math"/>
          </w:rPr>
          <m:t>G</m:t>
        </m:r>
        <m:r>
          <w:rPr>
            <w:rFonts w:ascii="Cambria Math" w:eastAsiaTheme="minorEastAsia" w:hAnsi="Cambria Math"/>
          </w:rPr>
          <m:t>=</m:t>
        </m:r>
        <m:d>
          <m:dPr>
            <m:ctrlPr>
              <w:rPr>
                <w:rFonts w:ascii="Cambria Math" w:eastAsiaTheme="minorEastAsia" w:hAnsi="Cambria Math"/>
              </w:rPr>
            </m:ctrlPr>
          </m:dPr>
          <m:e>
            <m:r>
              <m:rPr>
                <m:sty m:val="bi"/>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b/>
                        <w:bCs/>
                        <w:i/>
                      </w:rPr>
                    </m:ctrlPr>
                  </m:sSupPr>
                  <m:e>
                    <m:r>
                      <m:rPr>
                        <m:sty m:val="bi"/>
                      </m:rPr>
                      <w:rPr>
                        <w:rFonts w:ascii="Cambria Math" w:eastAsiaTheme="minorEastAsia" w:hAnsi="Cambria Math"/>
                      </w:rPr>
                      <m:t>11</m:t>
                    </m:r>
                  </m:e>
                  <m:sup>
                    <m:r>
                      <m:rPr>
                        <m:sty m:val="bi"/>
                      </m:rPr>
                      <w:rPr>
                        <w:rFonts w:ascii="Cambria Math" w:eastAsiaTheme="minorEastAsia" w:hAnsi="Cambria Math"/>
                      </w:rPr>
                      <m:t>'</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r>
          <m:rPr>
            <m:sty m:val="bi"/>
          </m:rPr>
          <w:rPr>
            <w:rFonts w:ascii="Cambria Math" w:eastAsiaTheme="minorEastAsia" w:hAnsi="Cambria Math"/>
          </w:rPr>
          <m:t>A</m:t>
        </m:r>
        <m:d>
          <m:dPr>
            <m:ctrlPr>
              <w:rPr>
                <w:rFonts w:ascii="Cambria Math" w:eastAsiaTheme="minorEastAsia" w:hAnsi="Cambria Math"/>
              </w:rPr>
            </m:ctrlPr>
          </m:dPr>
          <m:e>
            <m:r>
              <m:rPr>
                <m:sty m:val="bi"/>
              </m:rP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b/>
                        <w:bCs/>
                        <w:i/>
                      </w:rPr>
                    </m:ctrlPr>
                  </m:sSupPr>
                  <m:e>
                    <m:r>
                      <m:rPr>
                        <m:sty m:val="bi"/>
                      </m:rPr>
                      <w:rPr>
                        <w:rFonts w:ascii="Cambria Math" w:eastAsiaTheme="minorEastAsia" w:hAnsi="Cambria Math"/>
                      </w:rPr>
                      <m:t>11</m:t>
                    </m:r>
                  </m:e>
                  <m:sup>
                    <m:r>
                      <m:rPr>
                        <m:sty m:val="bi"/>
                      </m:rPr>
                      <w:rPr>
                        <w:rFonts w:ascii="Cambria Math" w:eastAsiaTheme="minorEastAsia" w:hAnsi="Cambria Math"/>
                      </w:rPr>
                      <m:t>'</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oMath>
      <w:r w:rsidR="004F0753">
        <w:rPr>
          <w:rFonts w:eastAsiaTheme="minorEastAsia"/>
        </w:rPr>
        <w:t>,</w:t>
      </w:r>
    </w:p>
    <w:p w14:paraId="2CBDB305" w14:textId="0489841D" w:rsidR="004F0753" w:rsidRDefault="004F0753" w:rsidP="00A850D2">
      <w:pPr>
        <w:pStyle w:val="Header"/>
        <w:spacing w:line="276" w:lineRule="auto"/>
        <w:jc w:val="center"/>
        <w:rPr>
          <w:rFonts w:eastAsiaTheme="minorEastAsia"/>
        </w:rPr>
      </w:pPr>
    </w:p>
    <w:p w14:paraId="0488E881" w14:textId="03210ED9" w:rsidR="000D3960" w:rsidRDefault="004F0753" w:rsidP="00A850D2">
      <w:pPr>
        <w:pStyle w:val="Header"/>
        <w:spacing w:line="276" w:lineRule="auto"/>
        <w:jc w:val="both"/>
        <w:rPr>
          <w:rFonts w:eastAsiaTheme="minorEastAsia"/>
        </w:rPr>
      </w:pPr>
      <w:r>
        <w:rPr>
          <w:rFonts w:eastAsiaTheme="minorEastAsia"/>
        </w:rPr>
        <w:t xml:space="preserve">where </w:t>
      </w:r>
      <m:oMath>
        <m:r>
          <m:rPr>
            <m:sty m:val="bi"/>
          </m:rPr>
          <w:rPr>
            <w:rFonts w:ascii="Cambria Math" w:eastAsiaTheme="minorEastAsia" w:hAnsi="Cambria Math"/>
          </w:rPr>
          <m:t>I</m:t>
        </m:r>
      </m:oMath>
      <w:r>
        <w:rPr>
          <w:rFonts w:eastAsiaTheme="minorEastAsia"/>
        </w:rPr>
        <w:t xml:space="preserve"> is the identity matrix and </w:t>
      </w:r>
      <m:oMath>
        <m:r>
          <m:rPr>
            <m:sty m:val="bi"/>
          </m:rPr>
          <w:rPr>
            <w:rFonts w:ascii="Cambria Math" w:eastAsiaTheme="minorEastAsia" w:hAnsi="Cambria Math"/>
          </w:rPr>
          <m:t>1</m:t>
        </m:r>
      </m:oMath>
      <w:r>
        <w:rPr>
          <w:rFonts w:eastAsiaTheme="minorEastAsia"/>
        </w:rPr>
        <w:t xml:space="preserve"> is a vector of </w:t>
      </w:r>
      <w:proofErr w:type="gramStart"/>
      <w:r w:rsidR="00A51102">
        <w:rPr>
          <w:rFonts w:eastAsiaTheme="minorEastAsia"/>
        </w:rPr>
        <w:t>ones.</w:t>
      </w:r>
      <w:proofErr w:type="gramEnd"/>
      <w:r>
        <w:rPr>
          <w:rFonts w:eastAsiaTheme="minorEastAsia"/>
        </w:rPr>
        <w:t xml:space="preserve"> We further define </w:t>
      </w:r>
      <m:oMath>
        <m:r>
          <m:rPr>
            <m:sty m:val="bi"/>
          </m:rPr>
          <w:rPr>
            <w:rFonts w:ascii="Cambria Math" w:eastAsiaTheme="minorEastAsia" w:hAnsi="Cambria Math"/>
          </w:rPr>
          <m:t>A</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2</m:t>
                </m:r>
              </m:sup>
            </m:sSubSup>
            <m:r>
              <m:rPr>
                <m:lit/>
              </m:rPr>
              <w:rPr>
                <w:rFonts w:ascii="Cambria Math" w:eastAsiaTheme="minorEastAsia" w:hAnsi="Cambria Math"/>
              </w:rPr>
              <m:t>/</m:t>
            </m:r>
            <m:r>
              <w:rPr>
                <w:rFonts w:ascii="Cambria Math" w:eastAsiaTheme="minorEastAsia" w:hAnsi="Cambria Math"/>
              </w:rPr>
              <m:t>2</m:t>
            </m:r>
            <m:ctrlPr>
              <w:rPr>
                <w:rFonts w:ascii="Cambria Math" w:eastAsiaTheme="minorEastAsia" w:hAnsi="Cambria Math"/>
                <w:i/>
              </w:rPr>
            </m:ctrlPr>
          </m:e>
        </m:d>
      </m:oMath>
      <w:r w:rsidR="000032BB">
        <w:rPr>
          <w:rFonts w:eastAsiaTheme="minorEastAsia"/>
        </w:rPr>
        <w:t xml:space="preserve"> and extract the eigen values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l</m:t>
                </m:r>
              </m:sub>
            </m:sSub>
          </m:e>
        </m:d>
        <m:r>
          <w:rPr>
            <w:rFonts w:ascii="Cambria Math" w:eastAsiaTheme="minorEastAsia" w:hAnsi="Cambria Math"/>
          </w:rPr>
          <m:t xml:space="preserve"> </m:t>
        </m:r>
      </m:oMath>
      <w:r w:rsidR="000032BB">
        <w:rPr>
          <w:rFonts w:eastAsiaTheme="minorEastAsia"/>
        </w:rPr>
        <w:t xml:space="preserve">and eigen vectors </w:t>
      </w:r>
      <m:oMath>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u</m:t>
                </m:r>
              </m:e>
              <m:sub>
                <m:r>
                  <w:rPr>
                    <w:rFonts w:ascii="Cambria Math" w:eastAsiaTheme="minorEastAsia" w:hAnsi="Cambria Math"/>
                  </w:rPr>
                  <m:t>l</m:t>
                </m:r>
              </m:sub>
            </m:sSub>
          </m:e>
        </m:d>
        <m:r>
          <w:rPr>
            <w:rFonts w:ascii="Cambria Math" w:eastAsiaTheme="minorEastAsia" w:hAnsi="Cambria Math"/>
          </w:rPr>
          <m:t xml:space="preserve"> </m:t>
        </m:r>
      </m:oMath>
      <w:r w:rsidR="000032BB">
        <w:rPr>
          <w:rFonts w:eastAsiaTheme="minorEastAsia"/>
        </w:rPr>
        <w:t xml:space="preserve">of </w:t>
      </w:r>
      <m:oMath>
        <m:r>
          <m:rPr>
            <m:sty m:val="bi"/>
          </m:rPr>
          <w:rPr>
            <w:rFonts w:ascii="Cambria Math" w:eastAsiaTheme="minorEastAsia" w:hAnsi="Cambria Math"/>
          </w:rPr>
          <m:t>G</m:t>
        </m:r>
        <m:r>
          <w:rPr>
            <w:rFonts w:ascii="Cambria Math" w:eastAsiaTheme="minorEastAsia" w:hAnsi="Cambria Math"/>
          </w:rPr>
          <m:t>.</m:t>
        </m:r>
      </m:oMath>
      <w:r w:rsidR="000D3960">
        <w:rPr>
          <w:rFonts w:eastAsiaTheme="minorEastAsia"/>
        </w:rPr>
        <w:t xml:space="preserve"> The test statistic is defined as </w:t>
      </w:r>
    </w:p>
    <w:p w14:paraId="4575384D" w14:textId="77777777" w:rsidR="000D3960" w:rsidRDefault="000D3960" w:rsidP="00A850D2">
      <w:pPr>
        <w:pStyle w:val="Header"/>
        <w:spacing w:line="276" w:lineRule="auto"/>
        <w:jc w:val="both"/>
        <w:rPr>
          <w:rFonts w:eastAsiaTheme="minorEastAsia"/>
        </w:rPr>
      </w:pPr>
    </w:p>
    <w:p w14:paraId="6FE9DFD6" w14:textId="60852DBC" w:rsidR="000D3960" w:rsidRDefault="000D3960" w:rsidP="00A850D2">
      <w:pPr>
        <w:pStyle w:val="Header"/>
        <w:spacing w:line="276" w:lineRule="auto"/>
        <w:jc w:val="center"/>
        <w:rPr>
          <w:rFonts w:eastAsiaTheme="minorEastAsia"/>
        </w:rPr>
      </w:pPr>
      <m:oMath>
        <m:r>
          <w:rPr>
            <w:rFonts w:ascii="Cambria Math" w:eastAsiaTheme="minorEastAsia" w:hAnsi="Cambria Math"/>
          </w:rPr>
          <m:t>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l</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l</m:t>
                    </m:r>
                  </m:sub>
                </m:sSub>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b</m:t>
                        </m:r>
                      </m:e>
                    </m:acc>
                  </m:e>
                  <m:sub>
                    <m:r>
                      <w:rPr>
                        <w:rFonts w:ascii="Cambria Math" w:eastAsiaTheme="minorEastAsia" w:hAnsi="Cambria Math"/>
                      </w:rPr>
                      <m:t>l</m:t>
                    </m:r>
                  </m:sub>
                </m:sSub>
              </m:e>
            </m:d>
            <m:ctrlPr>
              <w:rPr>
                <w:rFonts w:ascii="Cambria Math" w:eastAsiaTheme="minorEastAsia" w:hAnsi="Cambria Math"/>
                <w:i/>
              </w:rPr>
            </m:ctrlPr>
          </m:e>
        </m:nary>
      </m:oMath>
      <w:r>
        <w:rPr>
          <w:rFonts w:eastAsiaTheme="minorEastAsia"/>
        </w:rPr>
        <w:t xml:space="preserve">. </w:t>
      </w:r>
    </w:p>
    <w:p w14:paraId="6F7EBB93" w14:textId="3CFDB06C" w:rsidR="000D3960" w:rsidRDefault="000D3960" w:rsidP="00A850D2">
      <w:pPr>
        <w:pStyle w:val="Header"/>
        <w:spacing w:line="276" w:lineRule="auto"/>
        <w:jc w:val="both"/>
        <w:rPr>
          <w:rFonts w:eastAsiaTheme="minorEastAsia"/>
        </w:rPr>
      </w:pPr>
    </w:p>
    <w:p w14:paraId="73257D51" w14:textId="4378CB93" w:rsidR="00F858C8" w:rsidRDefault="000D3960" w:rsidP="00A850D2">
      <w:pPr>
        <w:pStyle w:val="Header"/>
        <w:spacing w:line="276" w:lineRule="auto"/>
        <w:jc w:val="both"/>
        <w:rPr>
          <w:rFonts w:eastAsiaTheme="minorEastAsia"/>
        </w:rPr>
      </w:pPr>
      <w:r>
        <w:rPr>
          <w:rFonts w:eastAsiaTheme="minorEastAsia"/>
        </w:rPr>
        <w:t xml:space="preserve">We apply the </w:t>
      </w:r>
      <w:r w:rsidR="00F858C8">
        <w:rPr>
          <w:rFonts w:eastAsiaTheme="minorEastAsia"/>
        </w:rPr>
        <w:t xml:space="preserve">permutation test to calculate the p-value based on </w:t>
      </w:r>
      <m:oMath>
        <m:r>
          <w:rPr>
            <w:rFonts w:ascii="Cambria Math" w:eastAsiaTheme="minorEastAsia" w:hAnsi="Cambria Math"/>
          </w:rPr>
          <m:t>T.</m:t>
        </m:r>
      </m:oMath>
      <w:r w:rsidR="00F858C8">
        <w:rPr>
          <w:rFonts w:eastAsiaTheme="minorEastAsia"/>
        </w:rPr>
        <w:t xml:space="preserve"> For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oMath>
      <w:r w:rsidR="00F858C8">
        <w:rPr>
          <w:rFonts w:eastAsiaTheme="minorEastAsia"/>
        </w:rPr>
        <w:t xml:space="preserve">th permutation we permute </w:t>
      </w:r>
      <m:oMath>
        <m:r>
          <m:rPr>
            <m:sty m:val="bi"/>
          </m:rPr>
          <w:rPr>
            <w:rFonts w:ascii="Cambria Math" w:eastAsiaTheme="minorEastAsia" w:hAnsi="Cambria Math"/>
          </w:rPr>
          <m:t>X</m:t>
        </m:r>
      </m:oMath>
      <w:r w:rsidR="00F858C8">
        <w:rPr>
          <w:rFonts w:eastAsiaTheme="minorEastAsia"/>
        </w:rPr>
        <w:t xml:space="preserve"> (to get </w:t>
      </w:r>
      <m:oMath>
        <m:sSup>
          <m:sSupPr>
            <m:ctrlPr>
              <w:rPr>
                <w:rFonts w:ascii="Cambria Math" w:eastAsiaTheme="minorEastAsia" w:hAnsi="Cambria Math"/>
                <w:b/>
                <w:bCs/>
                <w:i/>
              </w:rPr>
            </m:ctrlPr>
          </m:sSupPr>
          <m:e>
            <m:r>
              <m:rPr>
                <m:sty m:val="bi"/>
              </m:rPr>
              <w:rPr>
                <w:rFonts w:ascii="Cambria Math" w:eastAsiaTheme="minorEastAsia" w:hAnsi="Cambria Math"/>
              </w:rPr>
              <m:t>X</m:t>
            </m:r>
          </m:e>
          <m:sup>
            <m:d>
              <m:dPr>
                <m:ctrlPr>
                  <w:rPr>
                    <w:rFonts w:ascii="Cambria Math" w:eastAsiaTheme="minorEastAsia" w:hAnsi="Cambria Math"/>
                    <w:b/>
                    <w:bCs/>
                    <w:i/>
                  </w:rPr>
                </m:ctrlPr>
              </m:dPr>
              <m:e>
                <m:r>
                  <m:rPr>
                    <m:sty m:val="bi"/>
                  </m:rPr>
                  <w:rPr>
                    <w:rFonts w:ascii="Cambria Math" w:eastAsiaTheme="minorEastAsia" w:hAnsi="Cambria Math"/>
                  </w:rPr>
                  <m:t>j</m:t>
                </m:r>
              </m:e>
            </m:d>
          </m:sup>
        </m:sSup>
      </m:oMath>
      <w:r w:rsidR="00F858C8">
        <w:rPr>
          <w:rFonts w:eastAsiaTheme="minorEastAsia"/>
        </w:rPr>
        <w:t xml:space="preserve">) and the residual of </w:t>
      </w:r>
      <m:oMath>
        <m:r>
          <m:rPr>
            <m:sty m:val="bi"/>
          </m:rPr>
          <w:rPr>
            <w:rFonts w:ascii="Cambria Math" w:eastAsiaTheme="minorEastAsia" w:hAnsi="Cambria Math"/>
          </w:rPr>
          <m:t>Y</m:t>
        </m:r>
      </m:oMath>
      <w:r w:rsidR="00F858C8">
        <w:rPr>
          <w:rFonts w:eastAsiaTheme="minorEastAsia"/>
        </w:rPr>
        <w:t xml:space="preserve"> when regressed on </w:t>
      </w:r>
      <m:oMath>
        <m:r>
          <m:rPr>
            <m:sty m:val="bi"/>
          </m:rPr>
          <w:rPr>
            <w:rFonts w:ascii="Cambria Math" w:eastAsiaTheme="minorEastAsia" w:hAnsi="Cambria Math"/>
          </w:rPr>
          <m:t>X</m:t>
        </m:r>
      </m:oMath>
      <w:r w:rsidR="00F858C8">
        <w:rPr>
          <w:rFonts w:eastAsiaTheme="minorEastAsia"/>
          <w:b/>
          <w:bCs/>
        </w:rPr>
        <w:t xml:space="preserve"> </w:t>
      </w:r>
      <w:r w:rsidR="00F858C8">
        <w:rPr>
          <w:rFonts w:eastAsiaTheme="minorEastAsia"/>
        </w:rPr>
        <w:t xml:space="preserve">(to get </w:t>
      </w:r>
      <m:oMath>
        <m:sSubSup>
          <m:sSubSupPr>
            <m:ctrlPr>
              <w:rPr>
                <w:rFonts w:ascii="Cambria Math" w:eastAsiaTheme="minorEastAsia" w:hAnsi="Cambria Math"/>
                <w:b/>
                <w:bCs/>
                <w:i/>
              </w:rPr>
            </m:ctrlPr>
          </m:sSubSupPr>
          <m:e>
            <m:r>
              <m:rPr>
                <m:sty m:val="bi"/>
              </m:rPr>
              <w:rPr>
                <w:rFonts w:ascii="Cambria Math" w:eastAsiaTheme="minorEastAsia" w:hAnsi="Cambria Math"/>
              </w:rPr>
              <m:t>Y</m:t>
            </m:r>
          </m:e>
          <m:sub>
            <m:r>
              <m:rPr>
                <m:sty m:val="bi"/>
              </m:rPr>
              <w:rPr>
                <w:rFonts w:ascii="Cambria Math" w:eastAsiaTheme="minorEastAsia" w:hAnsi="Cambria Math"/>
              </w:rPr>
              <m:t>X</m:t>
            </m:r>
          </m:sub>
          <m:sup>
            <m:d>
              <m:dPr>
                <m:ctrlPr>
                  <w:rPr>
                    <w:rFonts w:ascii="Cambria Math" w:eastAsiaTheme="minorEastAsia" w:hAnsi="Cambria Math"/>
                    <w:b/>
                    <w:bCs/>
                    <w:i/>
                  </w:rPr>
                </m:ctrlPr>
              </m:dPr>
              <m:e>
                <m:r>
                  <m:rPr>
                    <m:sty m:val="bi"/>
                  </m:rPr>
                  <w:rPr>
                    <w:rFonts w:ascii="Cambria Math" w:eastAsiaTheme="minorEastAsia" w:hAnsi="Cambria Math"/>
                  </w:rPr>
                  <m:t>j</m:t>
                </m:r>
              </m:e>
            </m:d>
          </m:sup>
        </m:sSubSup>
      </m:oMath>
      <w:r w:rsidR="00F858C8" w:rsidRPr="00F858C8">
        <w:rPr>
          <w:rFonts w:eastAsiaTheme="minorEastAsia"/>
        </w:rPr>
        <w:t>)</w:t>
      </w:r>
      <w:r w:rsidR="00F858C8">
        <w:rPr>
          <w:rFonts w:eastAsiaTheme="minorEastAsia"/>
        </w:rPr>
        <w:t xml:space="preserve">. We calculate the following statistics: </w:t>
      </w:r>
    </w:p>
    <w:p w14:paraId="1E3BC0AE" w14:textId="1BC16EFE" w:rsidR="00F858C8" w:rsidRPr="00F858C8" w:rsidRDefault="00AC7D7E" w:rsidP="00A850D2">
      <w:pPr>
        <w:pStyle w:val="Header"/>
        <w:spacing w:line="276" w:lineRule="auto"/>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l</m:t>
                </m:r>
              </m:sub>
            </m:sSub>
            <m:d>
              <m:dPr>
                <m:begChr m:val="|"/>
                <m:endChr m:val="|"/>
                <m:ctrlPr>
                  <w:rPr>
                    <w:rFonts w:ascii="Cambria Math" w:eastAsiaTheme="minorEastAsia" w:hAnsi="Cambria Math"/>
                  </w:rPr>
                </m:ctrlPr>
              </m:dPr>
              <m:e>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j</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&gt;&lt;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&gt;</m:t>
                </m:r>
                <m:ctrlPr>
                  <w:rPr>
                    <w:rFonts w:ascii="Cambria Math" w:eastAsiaTheme="minorEastAsia" w:hAnsi="Cambria Math"/>
                    <w:i/>
                  </w:rPr>
                </m:ctrlPr>
              </m:e>
            </m:d>
            <m:ctrlPr>
              <w:rPr>
                <w:rFonts w:ascii="Cambria Math" w:eastAsiaTheme="minorEastAsia" w:hAnsi="Cambria Math"/>
                <w:i/>
              </w:rPr>
            </m:ctrlPr>
          </m:e>
        </m:nary>
      </m:oMath>
      <w:r w:rsidR="00F858C8">
        <w:rPr>
          <w:rFonts w:eastAsiaTheme="minorEastAsia"/>
        </w:rPr>
        <w:t>,</w:t>
      </w:r>
    </w:p>
    <w:p w14:paraId="173CAA5A" w14:textId="0D5FEE47" w:rsidR="00F858C8" w:rsidRDefault="00F858C8" w:rsidP="00A850D2">
      <w:pPr>
        <w:pStyle w:val="Header"/>
        <w:spacing w:line="276" w:lineRule="auto"/>
        <w:jc w:val="center"/>
        <w:rPr>
          <w:rFonts w:eastAsiaTheme="minorEastAsia"/>
        </w:rPr>
      </w:pPr>
    </w:p>
    <w:p w14:paraId="3444DA62" w14:textId="66CBC057" w:rsidR="00F858C8" w:rsidRPr="00F858C8" w:rsidRDefault="00AC7D7E" w:rsidP="00A850D2">
      <w:pPr>
        <w:pStyle w:val="Header"/>
        <w:spacing w:line="276" w:lineRule="auto"/>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Y</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l</m:t>
                </m:r>
              </m:sub>
            </m:sSub>
            <m:d>
              <m:dPr>
                <m:begChr m:val="|"/>
                <m:endChr m:val="|"/>
                <m:ctrlPr>
                  <w:rPr>
                    <w:rFonts w:ascii="Cambria Math" w:eastAsiaTheme="minorEastAsia" w:hAnsi="Cambria Math"/>
                  </w:rPr>
                </m:ctrlPr>
              </m:dPr>
              <m:e>
                <m:r>
                  <w:rPr>
                    <w:rFonts w:ascii="Cambria Math" w:eastAsiaTheme="minorEastAsia" w:hAnsi="Cambria Math"/>
                  </w:rPr>
                  <m:t>&lt;X,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&gt;&lt;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&gt;</m:t>
                </m:r>
                <m:ctrlPr>
                  <w:rPr>
                    <w:rFonts w:ascii="Cambria Math" w:eastAsiaTheme="minorEastAsia" w:hAnsi="Cambria Math"/>
                    <w:i/>
                  </w:rPr>
                </m:ctrlPr>
              </m:e>
            </m:d>
            <m:ctrlPr>
              <w:rPr>
                <w:rFonts w:ascii="Cambria Math" w:eastAsiaTheme="minorEastAsia" w:hAnsi="Cambria Math"/>
                <w:i/>
              </w:rPr>
            </m:ctrlPr>
          </m:e>
        </m:nary>
      </m:oMath>
      <w:r w:rsidR="00F858C8">
        <w:rPr>
          <w:rFonts w:eastAsiaTheme="minorEastAsia"/>
        </w:rPr>
        <w:t>,</w:t>
      </w:r>
    </w:p>
    <w:p w14:paraId="2747378A" w14:textId="608F495F" w:rsidR="00F858C8" w:rsidRPr="00F858C8" w:rsidRDefault="00F858C8" w:rsidP="00A850D2">
      <w:pPr>
        <w:pStyle w:val="Header"/>
        <w:spacing w:line="276" w:lineRule="auto"/>
        <w:jc w:val="center"/>
        <w:rPr>
          <w:rFonts w:eastAsiaTheme="minorEastAsia"/>
        </w:rPr>
      </w:pPr>
    </w:p>
    <w:p w14:paraId="73FEBC9E" w14:textId="3CC16E32" w:rsidR="00F858C8" w:rsidRPr="00F858C8" w:rsidRDefault="00AC7D7E" w:rsidP="00A850D2">
      <w:pPr>
        <w:pStyle w:val="Header"/>
        <w:spacing w:line="276" w:lineRule="auto"/>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X,Y</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l=1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m:t>
                </m:r>
              </m:sub>
            </m:sSub>
            <m:d>
              <m:dPr>
                <m:begChr m:val="|"/>
                <m:endChr m:val="|"/>
                <m:ctrlPr>
                  <w:rPr>
                    <w:rFonts w:ascii="Cambria Math" w:eastAsiaTheme="minorEastAsia" w:hAnsi="Cambria Math"/>
                  </w:rPr>
                </m:ctrlPr>
              </m:dPr>
              <m:e>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j</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&gt;&lt;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&gt;</m:t>
                </m:r>
                <m:ctrlPr>
                  <w:rPr>
                    <w:rFonts w:ascii="Cambria Math" w:eastAsiaTheme="minorEastAsia" w:hAnsi="Cambria Math"/>
                    <w:i/>
                  </w:rPr>
                </m:ctrlPr>
              </m:e>
            </m:d>
            <m:ctrlPr>
              <w:rPr>
                <w:rFonts w:ascii="Cambria Math" w:eastAsiaTheme="minorEastAsia" w:hAnsi="Cambria Math"/>
                <w:i/>
              </w:rPr>
            </m:ctrlPr>
          </m:e>
        </m:nary>
      </m:oMath>
      <w:r w:rsidR="00F858C8">
        <w:rPr>
          <w:rFonts w:eastAsiaTheme="minorEastAsia"/>
        </w:rPr>
        <w:t>.</w:t>
      </w:r>
    </w:p>
    <w:p w14:paraId="4C862082" w14:textId="77777777" w:rsidR="00F858C8" w:rsidRPr="00F858C8" w:rsidRDefault="00F858C8" w:rsidP="00A850D2">
      <w:pPr>
        <w:pStyle w:val="Header"/>
        <w:spacing w:line="276" w:lineRule="auto"/>
        <w:jc w:val="both"/>
        <w:rPr>
          <w:rFonts w:eastAsiaTheme="minorEastAsia"/>
        </w:rPr>
      </w:pPr>
    </w:p>
    <w:p w14:paraId="5E196EFC" w14:textId="7211F762" w:rsidR="00F858C8" w:rsidRPr="00BC762A" w:rsidRDefault="00F858C8" w:rsidP="00A850D2">
      <w:pPr>
        <w:pStyle w:val="Header"/>
        <w:spacing w:line="276" w:lineRule="auto"/>
        <w:jc w:val="both"/>
        <w:rPr>
          <w:rFonts w:eastAsiaTheme="minorEastAsia"/>
        </w:rPr>
      </w:pPr>
      <w:r w:rsidRPr="00F858C8">
        <w:rPr>
          <w:rFonts w:eastAsiaTheme="minorEastAsia"/>
          <w:lang w:val="en-US"/>
        </w:rPr>
        <w:t xml:space="preserve">The final test statistic under the </w:t>
      </w:r>
      <m:oMath>
        <m:r>
          <w:rPr>
            <w:rFonts w:ascii="Cambria Math" w:eastAsiaTheme="minorEastAsia" w:hAnsi="Cambria Math"/>
            <w:lang w:val="en-US"/>
          </w:rPr>
          <m:t>j</m:t>
        </m:r>
      </m:oMath>
      <w:r>
        <w:rPr>
          <w:rFonts w:eastAsiaTheme="minorEastAsia"/>
          <w:lang w:val="en-US"/>
        </w:rPr>
        <w:t>’th</w:t>
      </w:r>
      <w:r w:rsidRPr="00F858C8">
        <w:rPr>
          <w:rFonts w:eastAsiaTheme="minorEastAsia"/>
          <w:lang w:val="en-US"/>
        </w:rPr>
        <w:t xml:space="preserve"> permutation is calculate</w:t>
      </w:r>
      <w:r>
        <w:rPr>
          <w:rFonts w:eastAsiaTheme="minorEastAsia"/>
          <w:lang w:val="en-US"/>
        </w:rPr>
        <w:t xml:space="preserve">d as </w:t>
      </w:r>
      <m:oMath>
        <m:sSup>
          <m:sSupPr>
            <m:ctrlPr>
              <w:rPr>
                <w:rFonts w:ascii="Cambria Math" w:eastAsiaTheme="minorEastAsia" w:hAnsi="Cambria Math"/>
                <w:i/>
                <w:lang w:val="en-US"/>
              </w:rPr>
            </m:ctrlPr>
          </m:sSupPr>
          <m:e>
            <m:r>
              <w:rPr>
                <w:rFonts w:ascii="Cambria Math" w:eastAsiaTheme="minorEastAsia" w:hAnsi="Cambria Math"/>
                <w:lang w:val="en-US"/>
              </w:rPr>
              <m:t>T</m:t>
            </m:r>
          </m:e>
          <m:sup>
            <m:d>
              <m:dPr>
                <m:ctrlPr>
                  <w:rPr>
                    <w:rFonts w:ascii="Cambria Math" w:eastAsiaTheme="minorEastAsia" w:hAnsi="Cambria Math"/>
                    <w:i/>
                    <w:lang w:val="en-US"/>
                  </w:rPr>
                </m:ctrlPr>
              </m:dPr>
              <m:e>
                <m:r>
                  <w:rPr>
                    <w:rFonts w:ascii="Cambria Math" w:eastAsiaTheme="minorEastAsia" w:hAnsi="Cambria Math"/>
                    <w:lang w:val="en-US"/>
                  </w:rPr>
                  <m:t>j</m:t>
                </m:r>
              </m:e>
            </m:d>
          </m:sup>
        </m:sSup>
        <m:r>
          <w:rPr>
            <w:rFonts w:ascii="Cambria Math" w:eastAsiaTheme="minorEastAsia" w:hAnsi="Cambria Math"/>
            <w:lang w:val="en-US"/>
          </w:rPr>
          <m:t>=</m:t>
        </m:r>
        <m:r>
          <m:rPr>
            <m:sty m:val="p"/>
          </m:rPr>
          <w:rPr>
            <w:rFonts w:ascii="Cambria Math" w:eastAsiaTheme="minorEastAsia" w:hAnsi="Cambria Math"/>
            <w:lang w:val="en-US"/>
          </w:rPr>
          <m:t>max</m:t>
        </m:r>
        <m:d>
          <m:dPr>
            <m:begChr m:val="{"/>
            <m:endChr m:val="}"/>
            <m:ctrlPr>
              <w:rPr>
                <w:rFonts w:ascii="Cambria Math" w:eastAsiaTheme="minorEastAsia" w:hAnsi="Cambria Math"/>
                <w:iCs/>
                <w:lang w:val="en-US"/>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Y</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X,Y</m:t>
                </m:r>
              </m:sub>
              <m:sup>
                <m:d>
                  <m:dPr>
                    <m:ctrlPr>
                      <w:rPr>
                        <w:rFonts w:ascii="Cambria Math" w:eastAsiaTheme="minorEastAsia" w:hAnsi="Cambria Math"/>
                        <w:i/>
                      </w:rPr>
                    </m:ctrlPr>
                  </m:dPr>
                  <m:e>
                    <m:r>
                      <w:rPr>
                        <w:rFonts w:ascii="Cambria Math" w:eastAsiaTheme="minorEastAsia" w:hAnsi="Cambria Math"/>
                      </w:rPr>
                      <m:t>j</m:t>
                    </m:r>
                  </m:e>
                </m:d>
              </m:sup>
            </m:sSubSup>
            <m:ctrlPr>
              <w:rPr>
                <w:rFonts w:ascii="Cambria Math" w:eastAsiaTheme="minorEastAsia" w:hAnsi="Cambria Math"/>
                <w:i/>
              </w:rPr>
            </m:ctrlPr>
          </m:e>
        </m:d>
      </m:oMath>
      <w:r>
        <w:rPr>
          <w:rFonts w:eastAsiaTheme="minorEastAsia"/>
        </w:rPr>
        <w:t>.</w:t>
      </w:r>
      <w:r w:rsidR="003E614A">
        <w:rPr>
          <w:rFonts w:eastAsiaTheme="minorEastAsia"/>
        </w:rPr>
        <w:t xml:space="preserve"> The final p-value is obtained as the proportion of </w:t>
      </w:r>
      <w:r w:rsidR="00BC762A">
        <w:rPr>
          <w:rFonts w:eastAsiaTheme="minorEastAsia"/>
        </w:rPr>
        <w:t xml:space="preserve">permuted statistics equal to or larger than the observed statistic </w:t>
      </w:r>
      <m:oMath>
        <m:r>
          <w:rPr>
            <w:rFonts w:ascii="Cambria Math" w:eastAsiaTheme="minorEastAsia" w:hAnsi="Cambria Math"/>
          </w:rPr>
          <m:t>T.</m:t>
        </m:r>
      </m:oMath>
    </w:p>
    <w:p w14:paraId="51B21356" w14:textId="77777777" w:rsidR="00BC762A" w:rsidRPr="00226FE2" w:rsidRDefault="00BC762A" w:rsidP="00A850D2">
      <w:pPr>
        <w:pStyle w:val="Header"/>
        <w:spacing w:line="276" w:lineRule="auto"/>
        <w:jc w:val="both"/>
        <w:rPr>
          <w:rFonts w:eastAsiaTheme="minorEastAsia"/>
          <w:b/>
          <w:bCs/>
          <w:iCs/>
          <w:lang w:val="en-US"/>
        </w:rPr>
      </w:pPr>
    </w:p>
    <w:p w14:paraId="688E979F" w14:textId="7E6CEFCE" w:rsidR="00F858C8" w:rsidRPr="00EC6581" w:rsidRDefault="00F858C8" w:rsidP="00A850D2">
      <w:pPr>
        <w:pStyle w:val="Header"/>
        <w:spacing w:line="276" w:lineRule="auto"/>
        <w:jc w:val="both"/>
        <w:rPr>
          <w:rFonts w:eastAsiaTheme="minorEastAsia"/>
          <w:b/>
          <w:bCs/>
          <w:i/>
          <w:lang w:val="en-US"/>
        </w:rPr>
      </w:pPr>
      <w:r w:rsidRPr="00EC6581">
        <w:rPr>
          <w:rFonts w:eastAsiaTheme="minorEastAsia"/>
          <w:b/>
          <w:bCs/>
          <w:i/>
          <w:lang w:val="en-US"/>
        </w:rPr>
        <w:t xml:space="preserve"> </w:t>
      </w:r>
      <w:r w:rsidR="00226FE2" w:rsidRPr="00EC6581">
        <w:rPr>
          <w:rFonts w:eastAsiaTheme="minorEastAsia"/>
          <w:b/>
          <w:bCs/>
          <w:i/>
          <w:lang w:val="en-US"/>
        </w:rPr>
        <w:t>2.3. Choice of distances</w:t>
      </w:r>
    </w:p>
    <w:p w14:paraId="116E62E4" w14:textId="15A6731E" w:rsidR="003025C4" w:rsidRDefault="003025C4" w:rsidP="00A850D2">
      <w:pPr>
        <w:pStyle w:val="Header"/>
        <w:spacing w:line="276" w:lineRule="auto"/>
        <w:jc w:val="both"/>
        <w:rPr>
          <w:rFonts w:eastAsiaTheme="minorEastAsia"/>
          <w:lang w:val="en-US"/>
        </w:rPr>
      </w:pPr>
      <w:r w:rsidRPr="003025C4">
        <w:rPr>
          <w:rFonts w:eastAsiaTheme="minorEastAsia"/>
          <w:lang w:val="en-US"/>
        </w:rPr>
        <w:t>Each distance</w:t>
      </w:r>
      <w:r>
        <w:rPr>
          <w:rFonts w:eastAsiaTheme="minorEastAsia"/>
          <w:lang w:val="en-US"/>
        </w:rPr>
        <w:t xml:space="preserve"> metric</w:t>
      </w:r>
      <w:r w:rsidRPr="003025C4">
        <w:rPr>
          <w:rFonts w:eastAsiaTheme="minorEastAsia"/>
          <w:lang w:val="en-US"/>
        </w:rPr>
        <w:t xml:space="preserve"> represents a distinct view of the microbiota and is expected to be the most powerful to detect a specific mediation pat- tern. However, in real applications, we may have little knowledge about the underlying mediation mechanism. Sticking to a single distance could miss important mediation effect</w:t>
      </w:r>
      <w:r w:rsidR="007E34AD">
        <w:rPr>
          <w:rFonts w:eastAsiaTheme="minorEastAsia"/>
          <w:lang w:val="en-US"/>
        </w:rPr>
        <w:t>(s)</w:t>
      </w:r>
      <w:r w:rsidRPr="003025C4">
        <w:rPr>
          <w:rFonts w:eastAsiaTheme="minorEastAsia"/>
          <w:lang w:val="en-US"/>
        </w:rPr>
        <w:t xml:space="preserve">. Therefore, considering different distance measures is key to the robustness and power of the test. </w:t>
      </w:r>
      <w:r>
        <w:rPr>
          <w:rFonts w:eastAsiaTheme="minorEastAsia"/>
          <w:lang w:val="en-US"/>
        </w:rPr>
        <w:t>We consider non-tree-based distances in Jaccard and Bray-Curtis distances, and unweighted, weighted and generalized unique fraction (</w:t>
      </w:r>
      <w:proofErr w:type="spellStart"/>
      <w:r>
        <w:rPr>
          <w:rFonts w:eastAsiaTheme="minorEastAsia"/>
          <w:lang w:val="en-US"/>
        </w:rPr>
        <w:t>UniFrac</w:t>
      </w:r>
      <w:proofErr w:type="spellEnd"/>
      <w:r>
        <w:rPr>
          <w:rFonts w:eastAsiaTheme="minorEastAsia"/>
          <w:lang w:val="en-US"/>
        </w:rPr>
        <w:t xml:space="preserve">) distances, which account for the phylogenetic relationships between OTUs. </w:t>
      </w:r>
    </w:p>
    <w:p w14:paraId="3E9380B2" w14:textId="3BBD04DB" w:rsidR="00A51102" w:rsidRDefault="00A51102" w:rsidP="00A850D2">
      <w:pPr>
        <w:pStyle w:val="Header"/>
        <w:spacing w:line="276" w:lineRule="auto"/>
        <w:jc w:val="both"/>
        <w:rPr>
          <w:rFonts w:eastAsiaTheme="minorEastAsia"/>
          <w:lang w:val="en-US"/>
        </w:rPr>
      </w:pPr>
    </w:p>
    <w:p w14:paraId="33C10F5B" w14:textId="1076E064" w:rsidR="0017715E" w:rsidRPr="00EC6581" w:rsidRDefault="00A51102" w:rsidP="00A850D2">
      <w:pPr>
        <w:pStyle w:val="Header"/>
        <w:spacing w:line="276" w:lineRule="auto"/>
        <w:jc w:val="both"/>
        <w:rPr>
          <w:rFonts w:eastAsiaTheme="minorEastAsia"/>
          <w:b/>
          <w:bCs/>
          <w:i/>
          <w:iCs/>
          <w:lang w:val="en-US"/>
        </w:rPr>
      </w:pPr>
      <w:r w:rsidRPr="00EC6581">
        <w:rPr>
          <w:rFonts w:eastAsiaTheme="minorEastAsia"/>
          <w:b/>
          <w:bCs/>
          <w:i/>
          <w:iCs/>
          <w:lang w:val="en-US"/>
        </w:rPr>
        <w:t>2.4. Numerical example: real data application</w:t>
      </w:r>
    </w:p>
    <w:p w14:paraId="49C4E759" w14:textId="639388EC" w:rsidR="00A51102" w:rsidRDefault="00A51102" w:rsidP="00A850D2">
      <w:pPr>
        <w:pStyle w:val="Header"/>
        <w:spacing w:line="276" w:lineRule="auto"/>
        <w:jc w:val="both"/>
        <w:rPr>
          <w:rFonts w:eastAsiaTheme="minorEastAsia"/>
          <w:lang w:val="en-US"/>
        </w:rPr>
      </w:pPr>
      <w:r w:rsidRPr="00A51102">
        <w:rPr>
          <w:rFonts w:eastAsiaTheme="minorEastAsia"/>
          <w:lang w:val="en-US"/>
        </w:rPr>
        <w:t>Diet strongly affects human health, partly by modulating gut microbiome composition</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ZOTERO_ITEM CSL_CITATION {"citationID":"iEEvKW0t","properties":{"formattedCitation":"(Wu et al., 2011)","plainCitation":"(Wu et al., 2011)","noteIndex":0},"citationItems":[{"id":348,"uris":["http://zotero.org/users/6647948/items/3BISW8SV"],"uri":["http://zotero.org/users/6647948/items/3BISW8SV"],"itemData":{"id":348,"type":"article-journal","abstract":"Diet strongly affects human health, partly by modulating gut microbiome composition. We used diet inventories and 16S rDNA sequencing to characterize fecal samples from 98 individuals. Fecal communities clustered into enterotypes distinguished primarily by levels of Bacteroides and Prevotella. Enterotypes were strongly associated with long-term diets, particularly protein and animal fat (Bacteroides) versus carbohydrates (Prevotella). A controlled-feeding study of 10 subjects showed that microbiome composition changed detectably within 24 hours of initiating a high-fat/low-fiber or low-fat/high-fiber diet, but that enterotype identity remained stable during the 10-day study. Thus, alternative enterotype states are associated with long-term diet.","container-title":"Science (New York, N.Y.)","DOI":"10.1126/science.1208344","ISSN":"1095-9203","issue":"6052","journalAbbreviation":"Science","language":"eng","note":"PMID: 21885731\nPMCID: PMC3368382","page":"105-108","source":"PubMed","title":"Linking long-term dietary patterns with gut microbial enterotypes","volume":"334","author":[{"family":"Wu","given":"Gary D."},{"family":"Chen","given":"Jun"},{"family":"Hoffmann","given":"Christian"},{"family":"Bittinger","given":"Kyle"},{"family":"Chen","given":"Ying-Yu"},{"family":"Keilbaugh","given":"Sue A."},{"family":"Bewtra","given":"Meenakshi"},{"family":"Knights","given":"Dan"},{"family":"Walters","given":"William A."},{"family":"Knight","given":"Rob"},{"family":"Sinha","given":"Rohini"},{"family":"Gilroy","given":"Erin"},{"family":"Gupta","given":"Kernika"},{"family":"Baldassano","given":"Robert"},{"family":"Nessel","given":"Lisa"},{"family":"Li","given":"Hongzhe"},{"family":"Bushman","given":"Frederic D."},{"family":"Lewis","given":"James D."}],"issued":{"date-parts":[["2011",10,7]]}}}],"schema":"https://github.com/citation-style-language/schema/raw/master/csl-citation.json"} </w:instrText>
      </w:r>
      <w:r>
        <w:rPr>
          <w:rFonts w:eastAsiaTheme="minorEastAsia"/>
          <w:lang w:val="en-US"/>
        </w:rPr>
        <w:fldChar w:fldCharType="separate"/>
      </w:r>
      <w:r>
        <w:rPr>
          <w:rFonts w:eastAsiaTheme="minorEastAsia"/>
          <w:noProof/>
          <w:lang w:val="en-US"/>
        </w:rPr>
        <w:t>(Wu et al., 2011)</w:t>
      </w:r>
      <w:r>
        <w:rPr>
          <w:rFonts w:eastAsiaTheme="minorEastAsia"/>
          <w:lang w:val="en-US"/>
        </w:rPr>
        <w:fldChar w:fldCharType="end"/>
      </w:r>
      <w:r>
        <w:rPr>
          <w:rFonts w:eastAsiaTheme="minorEastAsia"/>
          <w:lang w:val="en-US"/>
        </w:rPr>
        <w:t xml:space="preserve">. The authors study </w:t>
      </w:r>
      <w:r w:rsidRPr="00A51102">
        <w:rPr>
          <w:rFonts w:eastAsiaTheme="minorEastAsia"/>
          <w:lang w:val="en-US"/>
        </w:rPr>
        <w:t xml:space="preserve">the association of long-term dietary and environmental variables with the gut microbiota. </w:t>
      </w:r>
      <w:r w:rsidRPr="00A51102">
        <w:rPr>
          <w:rFonts w:eastAsiaTheme="minorEastAsia"/>
          <w:lang w:val="en-US"/>
        </w:rPr>
        <w:t>Ninety-eight</w:t>
      </w:r>
      <w:r w:rsidRPr="00A51102">
        <w:rPr>
          <w:rFonts w:eastAsiaTheme="minorEastAsia"/>
          <w:lang w:val="en-US"/>
        </w:rPr>
        <w:t xml:space="preserve"> healthy volunteers were enrolled in the cross-sectional study. The volunteers’ long-term diet information was collected through food frequency questionnaire and converted to intake amounts of 214 nutrient categories. At the same time, their stool samples were collected, and the DNA samples were analyzed </w:t>
      </w:r>
      <w:r>
        <w:rPr>
          <w:rFonts w:eastAsiaTheme="minorEastAsia"/>
          <w:lang w:val="en-US"/>
        </w:rPr>
        <w:t>to yield</w:t>
      </w:r>
      <w:r w:rsidRPr="00A51102">
        <w:rPr>
          <w:rFonts w:eastAsiaTheme="minorEastAsia"/>
          <w:lang w:val="en-US"/>
        </w:rPr>
        <w:t xml:space="preserve"> rDNA gene </w:t>
      </w:r>
      <w:r>
        <w:rPr>
          <w:rFonts w:eastAsiaTheme="minorEastAsia"/>
          <w:lang w:val="en-US"/>
        </w:rPr>
        <w:t xml:space="preserve">segments. </w:t>
      </w:r>
      <w:r w:rsidRPr="00A51102">
        <w:rPr>
          <w:rFonts w:eastAsiaTheme="minorEastAsia"/>
          <w:lang w:val="en-US"/>
        </w:rPr>
        <w:t>The data also has measurements of body mass index (BMI).</w:t>
      </w:r>
    </w:p>
    <w:p w14:paraId="2DF8BFB8" w14:textId="3ADFC498" w:rsidR="00C744A3" w:rsidRDefault="00C744A3" w:rsidP="00A850D2">
      <w:pPr>
        <w:pStyle w:val="Header"/>
        <w:spacing w:line="276" w:lineRule="auto"/>
        <w:jc w:val="both"/>
        <w:rPr>
          <w:rFonts w:eastAsiaTheme="minorEastAsia"/>
          <w:lang w:val="en-US"/>
        </w:rPr>
      </w:pPr>
    </w:p>
    <w:p w14:paraId="6BAF7E0B" w14:textId="529A084E" w:rsidR="00A850D2" w:rsidRDefault="00652FC7" w:rsidP="00A850D2">
      <w:pPr>
        <w:pStyle w:val="Header"/>
        <w:spacing w:line="276" w:lineRule="auto"/>
        <w:jc w:val="both"/>
        <w:rPr>
          <w:rFonts w:eastAsiaTheme="minorEastAsia"/>
          <w:b/>
          <w:bCs/>
          <w:i/>
          <w:iCs/>
        </w:rPr>
      </w:pPr>
      <w:r>
        <w:rPr>
          <w:rFonts w:eastAsiaTheme="minorEastAsia"/>
          <w:lang w:val="en-US"/>
        </w:rPr>
        <w:t xml:space="preserve">Knowing that researchers have established significant association between dietary </w:t>
      </w:r>
      <w:proofErr w:type="spellStart"/>
      <w:r>
        <w:rPr>
          <w:rFonts w:eastAsiaTheme="minorEastAsia"/>
          <w:lang w:val="en-US"/>
        </w:rPr>
        <w:t>fibre</w:t>
      </w:r>
      <w:proofErr w:type="spellEnd"/>
      <w:r>
        <w:rPr>
          <w:rFonts w:eastAsiaTheme="minorEastAsia"/>
          <w:lang w:val="en-US"/>
        </w:rPr>
        <w:t xml:space="preserve"> intake and BMI</w:t>
      </w:r>
      <w:r w:rsidR="00EE0F9D">
        <w:rPr>
          <w:rFonts w:eastAsiaTheme="minorEastAsia"/>
          <w:lang w:val="en-US"/>
        </w:rPr>
        <w:t xml:space="preserve">, as well as a significant association between gut microbiota and </w:t>
      </w:r>
      <w:proofErr w:type="spellStart"/>
      <w:r w:rsidR="00EE0F9D">
        <w:rPr>
          <w:rFonts w:eastAsiaTheme="minorEastAsia"/>
          <w:lang w:val="en-US"/>
        </w:rPr>
        <w:t>fibre</w:t>
      </w:r>
      <w:proofErr w:type="spellEnd"/>
      <w:r w:rsidR="00EE0F9D">
        <w:rPr>
          <w:rFonts w:eastAsiaTheme="minorEastAsia"/>
          <w:lang w:val="en-US"/>
        </w:rPr>
        <w:t xml:space="preserve"> intake,</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ZOTERO_ITEM CSL_CITATION {"citationID":"mWMqCZVl","properties":{"formattedCitation":"(Wu et al., 2011)","plainCitation":"(Wu et al., 2011)","noteIndex":0},"citationItems":[{"id":348,"uris":["http://zotero.org/users/6647948/items/3BISW8SV"],"uri":["http://zotero.org/users/6647948/items/3BISW8SV"],"itemData":{"id":348,"type":"article-journal","abstract":"Diet strongly affects human health, partly by modulating gut microbiome composition. We used diet inventories and 16S rDNA sequencing to characterize fecal samples from 98 individuals. Fecal communities clustered into enterotypes distinguished primarily by levels of Bacteroides and Prevotella. Enterotypes were strongly associated with long-term diets, particularly protein and animal fat (Bacteroides) versus carbohydrates (Prevotella). A controlled-feeding study of 10 subjects showed that microbiome composition changed detectably within 24 hours of initiating a high-fat/low-fiber or low-fat/high-fiber diet, but that enterotype identity remained stable during the 10-day study. Thus, alternative enterotype states are associated with long-term diet.","container-title":"Science (New York, N.Y.)","DOI":"10.1126/science.1208344","ISSN":"1095-9203","issue":"6052","journalAbbreviation":"Science","language":"eng","note":"PMID: 21885731\nPMCID: PMC3368382","page":"105-108","source":"PubMed","title":"Linking long-term dietary patterns with gut microbial enterotypes","volume":"334","author":[{"family":"Wu","given":"Gary D."},{"family":"Chen","given":"Jun"},{"family":"Hoffmann","given":"Christian"},{"family":"Bittinger","given":"Kyle"},{"family":"Chen","given":"Ying-Yu"},{"family":"Keilbaugh","given":"Sue A."},{"family":"Bewtra","given":"Meenakshi"},{"family":"Knights","given":"Dan"},{"family":"Walters","given":"William A."},{"family":"Knight","given":"Rob"},{"family":"Sinha","given":"Rohini"},{"family":"Gilroy","given":"Erin"},{"family":"Gupta","given":"Kernika"},{"family":"Baldassano","given":"Robert"},{"family":"Nessel","given":"Lisa"},{"family":"Li","given":"Hongzhe"},{"family":"Bushman","given":"Frederic D."},{"family":"Lewis","given":"James D."}],"issued":{"date-parts":[["2011",10,7]]}}}],"schema":"https://github.com/citation-style-language/schema/raw/master/csl-citation.json"} </w:instrText>
      </w:r>
      <w:r>
        <w:rPr>
          <w:rFonts w:eastAsiaTheme="minorEastAsia"/>
          <w:lang w:val="en-US"/>
        </w:rPr>
        <w:fldChar w:fldCharType="separate"/>
      </w:r>
      <w:r>
        <w:rPr>
          <w:rFonts w:eastAsiaTheme="minorEastAsia"/>
          <w:noProof/>
          <w:lang w:val="en-US"/>
        </w:rPr>
        <w:t>(Wu et al., 2011)</w:t>
      </w:r>
      <w:r>
        <w:rPr>
          <w:rFonts w:eastAsiaTheme="minorEastAsia"/>
          <w:lang w:val="en-US"/>
        </w:rPr>
        <w:fldChar w:fldCharType="end"/>
      </w:r>
      <w:r>
        <w:rPr>
          <w:rFonts w:eastAsiaTheme="minorEastAsia"/>
          <w:lang w:val="en-US"/>
        </w:rPr>
        <w:t xml:space="preserve"> </w:t>
      </w:r>
      <w:r w:rsidR="00EE0F9D">
        <w:rPr>
          <w:rFonts w:eastAsiaTheme="minorEastAsia"/>
          <w:lang w:val="en-US"/>
        </w:rPr>
        <w:t xml:space="preserve">we wish to examine if the association between </w:t>
      </w:r>
      <w:proofErr w:type="spellStart"/>
      <w:r w:rsidR="00EE0F9D">
        <w:rPr>
          <w:rFonts w:eastAsiaTheme="minorEastAsia"/>
          <w:lang w:val="en-US"/>
        </w:rPr>
        <w:t>fibre</w:t>
      </w:r>
      <w:proofErr w:type="spellEnd"/>
      <w:r w:rsidR="00EE0F9D">
        <w:rPr>
          <w:rFonts w:eastAsiaTheme="minorEastAsia"/>
          <w:lang w:val="en-US"/>
        </w:rPr>
        <w:t xml:space="preserve"> intake and BMI is mediated by the gut microbiota</w:t>
      </w:r>
      <w:r w:rsidR="00445C09">
        <w:rPr>
          <w:rFonts w:eastAsiaTheme="minorEastAsia"/>
          <w:lang w:val="en-US"/>
        </w:rPr>
        <w:t xml:space="preserve"> by means of the distance-based permutation test proposed by </w:t>
      </w:r>
      <w:r w:rsidR="00445C09">
        <w:rPr>
          <w:rFonts w:eastAsiaTheme="minorEastAsia"/>
          <w:lang w:val="en-US"/>
        </w:rPr>
        <w:fldChar w:fldCharType="begin"/>
      </w:r>
      <w:r w:rsidR="00445C09">
        <w:rPr>
          <w:rFonts w:eastAsiaTheme="minorEastAsia"/>
          <w:lang w:val="en-US"/>
        </w:rPr>
        <w:instrText xml:space="preserve"> ADDIN ZOTERO_ITEM CSL_CITATION {"citationID":"W3f7qHUC","properties":{"formattedCitation":"(Zhang et al., 2018)","plainCitation":"(Zhang et al., 2018)","noteIndex":0},"citationItems":[{"id":328,"uris":["http://zotero.org/users/6647948/items/G6GP4NCV"],"uri":["http://zotero.org/users/6647948/items/G6GP4NCV"],"itemData":{"id":328,"type":"article-journal","container-title":"Bioinformatics","DOI":"10.1093/bioinformatics/bty014","ISSN":"1367-4803, 1460-2059","issue":"11","language":"en","page":"1875-1883","source":"DOI.org (Crossref)","title":"A distance-based approach for testing the mediation effect of the human microbiome","volume":"34","author":[{"family":"Zhang","given":"Jie"},{"family":"Wei","given":"Zhi"},{"family":"Chen","given":"Jun"}],"editor":[{"family":"Stegle","given":"Oliver"}],"issued":{"date-parts":[["2018",6,1]]}}}],"schema":"https://github.com/citation-style-language/schema/raw/master/csl-citation.json"} </w:instrText>
      </w:r>
      <w:r w:rsidR="00445C09">
        <w:rPr>
          <w:rFonts w:eastAsiaTheme="minorEastAsia"/>
          <w:lang w:val="en-US"/>
        </w:rPr>
        <w:fldChar w:fldCharType="separate"/>
      </w:r>
      <w:r w:rsidR="00445C09">
        <w:rPr>
          <w:rFonts w:eastAsiaTheme="minorEastAsia"/>
          <w:noProof/>
          <w:lang w:val="en-US"/>
        </w:rPr>
        <w:t>(Zhang et al., 2018)</w:t>
      </w:r>
      <w:r w:rsidR="00445C09">
        <w:rPr>
          <w:rFonts w:eastAsiaTheme="minorEastAsia"/>
          <w:lang w:val="en-US"/>
        </w:rPr>
        <w:fldChar w:fldCharType="end"/>
      </w:r>
      <w:r w:rsidR="00445C09">
        <w:rPr>
          <w:rFonts w:eastAsiaTheme="minorEastAsia"/>
          <w:lang w:val="en-US"/>
        </w:rPr>
        <w:t xml:space="preserve">. </w:t>
      </w:r>
      <w:r w:rsidR="007E322D" w:rsidRPr="00EC6581">
        <w:rPr>
          <w:rFonts w:eastAsiaTheme="minorEastAsia"/>
          <w:b/>
          <w:bCs/>
          <w:i/>
          <w:iCs/>
          <w:lang w:val="en-US"/>
        </w:rPr>
        <w:t>Table 1</w:t>
      </w:r>
      <w:r w:rsidR="00855E62" w:rsidRPr="00855E62">
        <w:rPr>
          <w:rFonts w:eastAsiaTheme="minorEastAsia"/>
          <w:b/>
          <w:bCs/>
          <w:lang w:val="en-US"/>
        </w:rPr>
        <w:t xml:space="preserve"> </w:t>
      </w:r>
      <w:r w:rsidR="00855E62" w:rsidRPr="00855E62">
        <w:rPr>
          <w:rFonts w:eastAsiaTheme="minorEastAsia"/>
          <w:lang w:val="en-US"/>
        </w:rPr>
        <w:t xml:space="preserve">(taken from </w:t>
      </w:r>
      <w:r w:rsidR="00855E62" w:rsidRPr="00855E62">
        <w:rPr>
          <w:rFonts w:eastAsiaTheme="minorEastAsia"/>
          <w:lang w:val="en-US"/>
        </w:rPr>
        <w:fldChar w:fldCharType="begin"/>
      </w:r>
      <w:r w:rsidR="00855E62" w:rsidRPr="00855E62">
        <w:rPr>
          <w:rFonts w:eastAsiaTheme="minorEastAsia"/>
          <w:lang w:val="en-US"/>
        </w:rPr>
        <w:instrText xml:space="preserve"> ADDIN ZOTERO_ITEM CSL_CITATION {"citationID":"UkO80Oup","properties":{"formattedCitation":"(Wu et al., 2011)","plainCitation":"(Wu et al., 2011)","noteIndex":0},"citationItems":[{"id":348,"uris":["http://zotero.org/users/6647948/items/3BISW8SV"],"uri":["http://zotero.org/users/6647948/items/3BISW8SV"],"itemData":{"id":348,"type":"article-journal","abstract":"Diet strongly affects human health, partly by modulating gut microbiome composition. We used diet inventories and 16S rDNA sequencing to characterize fecal samples from 98 individuals. Fecal communities clustered into enterotypes distinguished primarily by levels of Bacteroides and Prevotella. Enterotypes were strongly associated with long-term diets, particularly protein and animal fat (Bacteroides) versus carbohydrates (Prevotella). A controlled-feeding study of 10 subjects showed that microbiome composition changed detectably within 24 hours of initiating a high-fat/low-fiber or low-fat/high-fiber diet, but that enterotype identity remained stable during the 10-day study. Thus, alternative enterotype states are associated with long-term diet.","container-title":"Science (New York, N.Y.)","DOI":"10.1126/science.1208344","ISSN":"1095-9203","issue":"6052","journalAbbreviation":"Science","language":"eng","note":"PMID: 21885731\nPMCID: PMC3368382","page":"105-108","source":"PubMed","title":"Linking long-term dietary patterns with gut microbial enterotypes","volume":"334","author":[{"family":"Wu","given":"Gary D."},{"family":"Chen","given":"Jun"},{"family":"Hoffmann","given":"Christian"},{"family":"Bittinger","given":"Kyle"},{"family":"Chen","given":"Ying-Yu"},{"family":"Keilbaugh","given":"Sue A."},{"family":"Bewtra","given":"Meenakshi"},{"family":"Knights","given":"Dan"},{"family":"Walters","given":"William A."},{"family":"Knight","given":"Rob"},{"family":"Sinha","given":"Rohini"},{"family":"Gilroy","given":"Erin"},{"family":"Gupta","given":"Kernika"},{"family":"Baldassano","given":"Robert"},{"family":"Nessel","given":"Lisa"},{"family":"Li","given":"Hongzhe"},{"family":"Bushman","given":"Frederic D."},{"family":"Lewis","given":"James D."}],"issued":{"date-parts":[["2011",10,7]]}}}],"schema":"https://github.com/citation-style-language/schema/raw/master/csl-citation.json"} </w:instrText>
      </w:r>
      <w:r w:rsidR="00855E62" w:rsidRPr="00855E62">
        <w:rPr>
          <w:rFonts w:eastAsiaTheme="minorEastAsia"/>
          <w:lang w:val="en-US"/>
        </w:rPr>
        <w:fldChar w:fldCharType="separate"/>
      </w:r>
      <w:r w:rsidR="00855E62" w:rsidRPr="00855E62">
        <w:rPr>
          <w:rFonts w:eastAsiaTheme="minorEastAsia"/>
          <w:noProof/>
          <w:lang w:val="en-US"/>
        </w:rPr>
        <w:t>(Wu et al., 2011)</w:t>
      </w:r>
      <w:r w:rsidR="00855E62" w:rsidRPr="00855E62">
        <w:rPr>
          <w:rFonts w:eastAsiaTheme="minorEastAsia"/>
          <w:lang w:val="en-US"/>
        </w:rPr>
        <w:fldChar w:fldCharType="end"/>
      </w:r>
      <w:r w:rsidR="00855E62" w:rsidRPr="00855E62">
        <w:rPr>
          <w:rFonts w:eastAsiaTheme="minorEastAsia"/>
          <w:lang w:val="en-US"/>
        </w:rPr>
        <w:t>)</w:t>
      </w:r>
      <w:r w:rsidR="007E322D" w:rsidRPr="00855E62">
        <w:rPr>
          <w:rFonts w:eastAsiaTheme="minorEastAsia"/>
          <w:lang w:val="en-US"/>
        </w:rPr>
        <w:t xml:space="preserve"> </w:t>
      </w:r>
      <w:r w:rsidR="007E322D">
        <w:rPr>
          <w:rFonts w:eastAsiaTheme="minorEastAsia"/>
          <w:lang w:val="en-US"/>
        </w:rPr>
        <w:t>reports the p-values for association tests between</w:t>
      </w:r>
      <w:r w:rsidR="00D1257A">
        <w:rPr>
          <w:rFonts w:eastAsiaTheme="minorEastAsia"/>
          <w:lang w:val="en-US"/>
        </w:rPr>
        <w:t xml:space="preserve"> </w:t>
      </w:r>
      <w:proofErr w:type="spellStart"/>
      <w:r w:rsidR="00D1257A">
        <w:rPr>
          <w:rFonts w:eastAsiaTheme="minorEastAsia"/>
          <w:lang w:val="en-US"/>
        </w:rPr>
        <w:t>fibre</w:t>
      </w:r>
      <w:proofErr w:type="spellEnd"/>
      <w:r w:rsidR="007E322D">
        <w:rPr>
          <w:rFonts w:eastAsiaTheme="minorEastAsia"/>
          <w:lang w:val="en-US"/>
        </w:rPr>
        <w:t xml:space="preserve"> intake (</w:t>
      </w:r>
      <m:oMath>
        <m:r>
          <w:rPr>
            <w:rFonts w:ascii="Cambria Math" w:eastAsiaTheme="minorEastAsia" w:hAnsi="Cambria Math"/>
            <w:lang w:val="en-US"/>
          </w:rPr>
          <m:t>X</m:t>
        </m:r>
      </m:oMath>
      <w:r w:rsidR="007E322D">
        <w:rPr>
          <w:rFonts w:eastAsiaTheme="minorEastAsia"/>
          <w:lang w:val="en-US"/>
        </w:rPr>
        <w:t xml:space="preserve">), </w:t>
      </w:r>
      <w:r w:rsidR="00EC6581">
        <w:rPr>
          <w:rFonts w:eastAsiaTheme="minorEastAsia"/>
        </w:rPr>
        <w:t>gut microbiota (</w:t>
      </w:r>
      <m:oMath>
        <m:r>
          <w:rPr>
            <w:rFonts w:ascii="Cambria Math" w:eastAsiaTheme="minorEastAsia" w:hAnsi="Cambria Math"/>
          </w:rPr>
          <m:t>M</m:t>
        </m:r>
      </m:oMath>
      <w:r w:rsidR="00EC6581">
        <w:rPr>
          <w:rFonts w:eastAsiaTheme="minorEastAsia"/>
        </w:rPr>
        <w:t>) and BMI (</w:t>
      </w:r>
      <m:oMath>
        <m:r>
          <w:rPr>
            <w:rFonts w:ascii="Cambria Math" w:eastAsiaTheme="minorEastAsia" w:hAnsi="Cambria Math"/>
          </w:rPr>
          <m:t>Y</m:t>
        </m:r>
      </m:oMath>
      <w:r w:rsidR="00EC6581">
        <w:rPr>
          <w:rFonts w:eastAsiaTheme="minorEastAsia"/>
        </w:rPr>
        <w:t xml:space="preserve">). </w:t>
      </w:r>
      <w:r w:rsidR="007A1B5D">
        <w:rPr>
          <w:rFonts w:eastAsiaTheme="minorEastAsia"/>
        </w:rPr>
        <w:t xml:space="preserve">The p-value for </w:t>
      </w:r>
      <m:oMath>
        <m:r>
          <w:rPr>
            <w:rFonts w:ascii="Cambria Math" w:eastAsiaTheme="minorEastAsia" w:hAnsi="Cambria Math"/>
          </w:rPr>
          <m:t xml:space="preserve">Y </m:t>
        </m:r>
        <m:r>
          <m:rPr>
            <m:sty m:val="p"/>
          </m:rPr>
          <w:rPr>
            <w:rFonts w:ascii="Cambria Math" w:eastAsiaTheme="minorEastAsia" w:hAnsi="Cambria Math"/>
          </w:rPr>
          <m:t>∼</m:t>
        </m:r>
        <m:r>
          <w:rPr>
            <w:rFonts w:ascii="Cambria Math" w:eastAsiaTheme="minorEastAsia" w:hAnsi="Cambria Math"/>
          </w:rPr>
          <m:t>X</m:t>
        </m:r>
      </m:oMath>
      <w:r w:rsidR="007A1B5D">
        <w:rPr>
          <w:rFonts w:eastAsiaTheme="minorEastAsia"/>
        </w:rPr>
        <w:t xml:space="preserve"> are calculated using the standard F-test, while those corresponding to </w:t>
      </w:r>
      <m:oMath>
        <m:r>
          <w:rPr>
            <w:rFonts w:ascii="Cambria Math" w:eastAsiaTheme="minorEastAsia" w:hAnsi="Cambria Math"/>
          </w:rPr>
          <m:t xml:space="preserve">M </m:t>
        </m:r>
        <m:r>
          <m:rPr>
            <m:sty m:val="p"/>
          </m:rPr>
          <w:rPr>
            <w:rFonts w:ascii="Cambria Math" w:eastAsiaTheme="minorEastAsia" w:hAnsi="Cambria Math"/>
          </w:rPr>
          <m:t>∼</m:t>
        </m:r>
        <m:r>
          <w:rPr>
            <w:rFonts w:ascii="Cambria Math" w:eastAsiaTheme="minorEastAsia" w:hAnsi="Cambria Math"/>
          </w:rPr>
          <m:t>X</m:t>
        </m:r>
      </m:oMath>
      <w:r w:rsidR="007A1B5D">
        <w:rPr>
          <w:rFonts w:eastAsiaTheme="minorEastAsia"/>
        </w:rPr>
        <w:t xml:space="preserve"> and </w:t>
      </w:r>
      <m:oMath>
        <m:r>
          <w:rPr>
            <w:rFonts w:ascii="Cambria Math" w:eastAsiaTheme="minorEastAsia" w:hAnsi="Cambria Math"/>
          </w:rPr>
          <m:t xml:space="preserve">Y </m:t>
        </m:r>
        <m:r>
          <m:rPr>
            <m:sty m:val="p"/>
          </m:rPr>
          <w:rPr>
            <w:rFonts w:ascii="Cambria Math" w:eastAsiaTheme="minorEastAsia" w:hAnsi="Cambria Math"/>
          </w:rPr>
          <m:t>∼</m:t>
        </m:r>
        <m:r>
          <w:rPr>
            <w:rFonts w:ascii="Cambria Math" w:eastAsiaTheme="minorEastAsia" w:hAnsi="Cambria Math"/>
          </w:rPr>
          <m:t>M</m:t>
        </m:r>
      </m:oMath>
      <w:r w:rsidR="007A1B5D">
        <w:rPr>
          <w:rFonts w:eastAsiaTheme="minorEastAsia"/>
        </w:rPr>
        <w:t xml:space="preserve"> are calculated by means of the Microbiome Regression-based Kernel Association Test (</w:t>
      </w:r>
      <w:proofErr w:type="spellStart"/>
      <w:r w:rsidR="007A1B5D">
        <w:rPr>
          <w:rFonts w:eastAsiaTheme="minorEastAsia"/>
        </w:rPr>
        <w:t>MiRKAT</w:t>
      </w:r>
      <w:proofErr w:type="spellEnd"/>
      <w:r w:rsidR="007A1B5D">
        <w:rPr>
          <w:rFonts w:eastAsiaTheme="minorEastAsia"/>
        </w:rPr>
        <w:t xml:space="preserve">) </w:t>
      </w:r>
      <w:r w:rsidR="007A1B5D">
        <w:rPr>
          <w:rFonts w:eastAsiaTheme="minorEastAsia"/>
        </w:rPr>
        <w:fldChar w:fldCharType="begin"/>
      </w:r>
      <w:r w:rsidR="007A1B5D">
        <w:rPr>
          <w:rFonts w:eastAsiaTheme="minorEastAsia"/>
        </w:rPr>
        <w:instrText xml:space="preserve"> ADDIN ZOTERO_ITEM CSL_CITATION {"citationID":"LCUW09lJ","properties":{"formattedCitation":"(Zhao et al., 2015)","plainCitation":"(Zhao et al., 2015)","noteIndex":0},"citationItems":[{"id":340,"uris":["http://zotero.org/users/6647948/items/W9JDZLMI"],"uri":["http://zotero.org/users/6647948/items/W9JDZLMI"],"itemData":{"id":340,"type":"article-journal","container-title":"The American Journal of Human Genetics","DOI":"10.1016/j.ajhg.2015.04.003","ISSN":"00029297","issue":"5","journalAbbreviation":"The American Journal of Human Genetics","language":"en","page":"797-807","source":"DOI.org (Crossref)","title":"Testing in Microbiome-Profiling Studies with MiRKAT, the Microbiome Regression-Based Kernel Association Test","volume":"96","author":[{"family":"Zhao","given":"Ni"},{"family":"Chen","given":"Jun"},{"family":"Carroll","given":"Ian M."},{"family":"Ringel-Kulka","given":"Tamar"},{"family":"Epstein","given":"Michael P."},{"family":"Zhou","given":"Hua"},{"family":"Zhou","given":"Jin J."},{"family":"Ringel","given":"Yehuda"},{"family":"Li","given":"Hongzhe"},{"family":"Wu","given":"Michael C."}],"issued":{"date-parts":[["2015",5]]}}}],"schema":"https://github.com/citation-style-language/schema/raw/master/csl-citation.json"} </w:instrText>
      </w:r>
      <w:r w:rsidR="007A1B5D">
        <w:rPr>
          <w:rFonts w:eastAsiaTheme="minorEastAsia"/>
        </w:rPr>
        <w:fldChar w:fldCharType="separate"/>
      </w:r>
      <w:r w:rsidR="007A1B5D">
        <w:rPr>
          <w:rFonts w:eastAsiaTheme="minorEastAsia"/>
          <w:noProof/>
        </w:rPr>
        <w:t>(Zhao et al., 2015)</w:t>
      </w:r>
      <w:r w:rsidR="007A1B5D">
        <w:rPr>
          <w:rFonts w:eastAsiaTheme="minorEastAsia"/>
        </w:rPr>
        <w:fldChar w:fldCharType="end"/>
      </w:r>
      <w:r w:rsidR="007A1B5D">
        <w:rPr>
          <w:rFonts w:eastAsiaTheme="minorEastAsia"/>
        </w:rPr>
        <w:t xml:space="preserve">. </w:t>
      </w:r>
      <w:r w:rsidR="00EC6581" w:rsidRPr="00EC6581">
        <w:rPr>
          <w:rFonts w:eastAsiaTheme="minorEastAsia"/>
          <w:b/>
          <w:bCs/>
          <w:i/>
          <w:iCs/>
        </w:rPr>
        <w:t>Table 2</w:t>
      </w:r>
      <w:r w:rsidR="00EC6581">
        <w:rPr>
          <w:rFonts w:eastAsiaTheme="minorEastAsia"/>
        </w:rPr>
        <w:t xml:space="preserve"> summarises the results </w:t>
      </w:r>
      <w:r w:rsidR="00EC6581" w:rsidRPr="00EC6581">
        <w:rPr>
          <w:rFonts w:eastAsiaTheme="minorEastAsia"/>
        </w:rPr>
        <w:t>summarizes the results for the single distance-based mediation tests</w:t>
      </w:r>
      <w:r w:rsidR="00211D16">
        <w:rPr>
          <w:rFonts w:eastAsiaTheme="minorEastAsia"/>
        </w:rPr>
        <w:t xml:space="preserve"> </w:t>
      </w:r>
      <w:r w:rsidR="00EC6581" w:rsidRPr="00EC6581">
        <w:rPr>
          <w:rFonts w:eastAsiaTheme="minorEastAsia"/>
        </w:rPr>
        <w:t>and the omnibus test.</w:t>
      </w:r>
    </w:p>
    <w:p w14:paraId="2AD1EF6D" w14:textId="37364079" w:rsidR="00EC6581" w:rsidRDefault="00A850D2" w:rsidP="00A850D2">
      <w:pPr>
        <w:pStyle w:val="Header"/>
        <w:spacing w:line="276" w:lineRule="auto"/>
        <w:jc w:val="both"/>
        <w:rPr>
          <w:rFonts w:eastAsiaTheme="minorEastAsia"/>
          <w:b/>
          <w:bCs/>
          <w:i/>
          <w:iCs/>
        </w:rPr>
      </w:pPr>
      <w:r w:rsidRPr="00A850D2">
        <w:rPr>
          <w:rFonts w:eastAsiaTheme="minorEastAsia"/>
          <w:b/>
          <w:bCs/>
          <w:i/>
          <w:iCs/>
        </w:rPr>
        <w:lastRenderedPageBreak/>
        <w:t>3. RESULTS</w:t>
      </w:r>
    </w:p>
    <w:p w14:paraId="375420D3" w14:textId="3CDD0244" w:rsidR="0090717A" w:rsidRDefault="0090717A" w:rsidP="00A850D2">
      <w:pPr>
        <w:pStyle w:val="Header"/>
        <w:spacing w:line="276" w:lineRule="auto"/>
        <w:jc w:val="both"/>
        <w:rPr>
          <w:rFonts w:eastAsiaTheme="minorEastAsia"/>
        </w:rPr>
      </w:pPr>
      <w:r>
        <w:rPr>
          <w:rFonts w:eastAsiaTheme="minorEastAsia"/>
        </w:rPr>
        <w:t xml:space="preserve">From </w:t>
      </w:r>
      <w:r w:rsidRPr="00765D69">
        <w:rPr>
          <w:rFonts w:eastAsiaTheme="minorEastAsia"/>
          <w:b/>
          <w:bCs/>
          <w:i/>
          <w:iCs/>
        </w:rPr>
        <w:t>Table 1</w:t>
      </w:r>
      <w:r>
        <w:rPr>
          <w:rFonts w:eastAsiaTheme="minorEastAsia"/>
        </w:rPr>
        <w:t xml:space="preserve">, we </w:t>
      </w:r>
      <w:r>
        <w:rPr>
          <w:rFonts w:eastAsiaTheme="minorEastAsia"/>
        </w:rPr>
        <w:t xml:space="preserve">note that </w:t>
      </w:r>
      <m:oMath>
        <m:r>
          <w:rPr>
            <w:rFonts w:ascii="Cambria Math" w:eastAsiaTheme="minorEastAsia" w:hAnsi="Cambria Math"/>
            <w:lang w:val="en-US"/>
          </w:rPr>
          <m:t>X</m:t>
        </m:r>
      </m:oMath>
      <w:r w:rsidRPr="00EC6581">
        <w:rPr>
          <w:rFonts w:eastAsiaTheme="minorEastAsia"/>
        </w:rPr>
        <w:t xml:space="preserve"> demonstrates significant</w:t>
      </w:r>
      <w:r>
        <w:rPr>
          <w:rFonts w:eastAsiaTheme="minorEastAsia"/>
        </w:rPr>
        <w:t xml:space="preserve"> </w:t>
      </w:r>
      <w:r w:rsidRPr="00EC6581">
        <w:rPr>
          <w:rFonts w:eastAsiaTheme="minorEastAsia"/>
        </w:rPr>
        <w:t xml:space="preserve">associations with </w:t>
      </w:r>
      <m:oMath>
        <m:r>
          <w:rPr>
            <w:rFonts w:ascii="Cambria Math" w:eastAsiaTheme="minorEastAsia" w:hAnsi="Cambria Math"/>
          </w:rPr>
          <m:t>Y</m:t>
        </m:r>
      </m:oMath>
      <w:r>
        <w:rPr>
          <w:rFonts w:eastAsiaTheme="minorEastAsia"/>
        </w:rPr>
        <w:t xml:space="preserve"> (p-value: 0.02</w:t>
      </w:r>
      <w:r w:rsidR="006947F9">
        <w:rPr>
          <w:rFonts w:eastAsiaTheme="minorEastAsia"/>
        </w:rPr>
        <w:t>2</w:t>
      </w:r>
      <w:r>
        <w:rPr>
          <w:rFonts w:eastAsiaTheme="minorEastAsia"/>
        </w:rPr>
        <w:t>)</w:t>
      </w:r>
      <w:r w:rsidRPr="00EC6581">
        <w:rPr>
          <w:rFonts w:eastAsiaTheme="minorEastAsia"/>
        </w:rPr>
        <w:t xml:space="preserve">, and </w:t>
      </w:r>
      <m:oMath>
        <m:r>
          <w:rPr>
            <w:rFonts w:ascii="Cambria Math" w:eastAsiaTheme="minorEastAsia" w:hAnsi="Cambria Math"/>
          </w:rPr>
          <m:t>M</m:t>
        </m:r>
      </m:oMath>
      <w:r w:rsidRPr="00EC6581">
        <w:rPr>
          <w:rFonts w:eastAsiaTheme="minorEastAsia"/>
        </w:rPr>
        <w:t xml:space="preserve"> is significantly associated with both </w:t>
      </w:r>
      <m:oMath>
        <m:r>
          <w:rPr>
            <w:rFonts w:ascii="Cambria Math" w:eastAsiaTheme="minorEastAsia" w:hAnsi="Cambria Math"/>
            <w:lang w:val="en-US"/>
          </w:rPr>
          <m:t>X</m:t>
        </m:r>
      </m:oMath>
      <w:r w:rsidRPr="00EC6581">
        <w:rPr>
          <w:rFonts w:eastAsiaTheme="minorEastAsia"/>
        </w:rPr>
        <w:t xml:space="preserve"> and </w:t>
      </w:r>
      <m:oMath>
        <m:r>
          <w:rPr>
            <w:rFonts w:ascii="Cambria Math" w:eastAsiaTheme="minorEastAsia" w:hAnsi="Cambria Math"/>
          </w:rPr>
          <m:t>Y</m:t>
        </m:r>
      </m:oMath>
      <w:r>
        <w:rPr>
          <w:rFonts w:eastAsiaTheme="minorEastAsia"/>
        </w:rPr>
        <w:t xml:space="preserve"> (p-value: 0.03</w:t>
      </w:r>
      <w:r w:rsidR="006947F9">
        <w:rPr>
          <w:rFonts w:eastAsiaTheme="minorEastAsia"/>
        </w:rPr>
        <w:t>9</w:t>
      </w:r>
      <w:r>
        <w:rPr>
          <w:rFonts w:eastAsiaTheme="minorEastAsia"/>
        </w:rPr>
        <w:t xml:space="preserve"> and 0.030 respectively)</w:t>
      </w:r>
      <w:r w:rsidRPr="00EC6581">
        <w:rPr>
          <w:rFonts w:eastAsiaTheme="minorEastAsia"/>
        </w:rPr>
        <w:t xml:space="preserve">. Thus, we </w:t>
      </w:r>
      <w:r>
        <w:rPr>
          <w:rFonts w:eastAsiaTheme="minorEastAsia"/>
        </w:rPr>
        <w:t xml:space="preserve">consider </w:t>
      </w:r>
      <w:r w:rsidRPr="00EC6581">
        <w:rPr>
          <w:rFonts w:eastAsiaTheme="minorEastAsia"/>
        </w:rPr>
        <w:t xml:space="preserve">the mediation test to check whether </w:t>
      </w:r>
      <m:oMath>
        <m:r>
          <w:rPr>
            <w:rFonts w:ascii="Cambria Math" w:eastAsiaTheme="minorEastAsia" w:hAnsi="Cambria Math"/>
          </w:rPr>
          <m:t>M</m:t>
        </m:r>
      </m:oMath>
      <w:r w:rsidRPr="00EC6581">
        <w:rPr>
          <w:rFonts w:eastAsiaTheme="minorEastAsia"/>
        </w:rPr>
        <w:t xml:space="preserve"> mediates the effects of the </w:t>
      </w:r>
      <m:oMath>
        <m:r>
          <w:rPr>
            <w:rFonts w:ascii="Cambria Math" w:eastAsiaTheme="minorEastAsia" w:hAnsi="Cambria Math"/>
            <w:lang w:val="en-US"/>
          </w:rPr>
          <m:t>X</m:t>
        </m:r>
      </m:oMath>
      <w:r w:rsidRPr="00EC6581">
        <w:rPr>
          <w:rFonts w:eastAsiaTheme="minorEastAsia"/>
        </w:rPr>
        <w:t xml:space="preserve"> on </w:t>
      </w:r>
      <m:oMath>
        <m:r>
          <w:rPr>
            <w:rFonts w:ascii="Cambria Math" w:eastAsiaTheme="minorEastAsia" w:hAnsi="Cambria Math"/>
          </w:rPr>
          <m:t>Y</m:t>
        </m:r>
      </m:oMath>
      <w:r w:rsidRPr="00EC6581">
        <w:rPr>
          <w:rFonts w:eastAsiaTheme="minorEastAsia"/>
        </w:rPr>
        <w:t>.</w:t>
      </w:r>
      <w:r w:rsidR="00765D69">
        <w:rPr>
          <w:rFonts w:eastAsiaTheme="minorEastAsia"/>
        </w:rPr>
        <w:t xml:space="preserve"> </w:t>
      </w:r>
      <w:r w:rsidR="00996B7D">
        <w:rPr>
          <w:rFonts w:eastAsiaTheme="minorEastAsia"/>
        </w:rPr>
        <w:t xml:space="preserve">From </w:t>
      </w:r>
      <w:r w:rsidR="00996B7D" w:rsidRPr="00996B7D">
        <w:rPr>
          <w:rFonts w:eastAsiaTheme="minorEastAsia"/>
          <w:b/>
          <w:bCs/>
          <w:i/>
          <w:iCs/>
        </w:rPr>
        <w:t>Table 2</w:t>
      </w:r>
      <w:r w:rsidR="00D10869">
        <w:rPr>
          <w:rFonts w:eastAsiaTheme="minorEastAsia"/>
          <w:b/>
          <w:bCs/>
          <w:i/>
          <w:iCs/>
        </w:rPr>
        <w:t xml:space="preserve"> </w:t>
      </w:r>
      <w:r w:rsidR="00D10869">
        <w:rPr>
          <w:rFonts w:eastAsiaTheme="minorEastAsia"/>
        </w:rPr>
        <w:t xml:space="preserve">we note only one of the distances could detect significant mediation effects – namely, the non-tree Jaccard distance (p-value: 0.007). The tree-based </w:t>
      </w:r>
      <w:proofErr w:type="spellStart"/>
      <w:r w:rsidR="00D10869">
        <w:rPr>
          <w:rFonts w:eastAsiaTheme="minorEastAsia"/>
        </w:rPr>
        <w:t>UniFrac</w:t>
      </w:r>
      <w:proofErr w:type="spellEnd"/>
      <w:r w:rsidR="00D10869">
        <w:rPr>
          <w:rFonts w:eastAsiaTheme="minorEastAsia"/>
        </w:rPr>
        <w:t xml:space="preserve"> detects a marginally significant effect (p-value: 0.0</w:t>
      </w:r>
      <w:r w:rsidR="006947F9">
        <w:rPr>
          <w:rFonts w:eastAsiaTheme="minorEastAsia"/>
        </w:rPr>
        <w:t>88</w:t>
      </w:r>
      <w:r w:rsidR="00D10869">
        <w:rPr>
          <w:rFonts w:eastAsiaTheme="minorEastAsia"/>
        </w:rPr>
        <w:t>). These distances are known to be effective in capturing association patterns in presence/absence data. None of the other three distances yielded p-values less than the 0.05 threshold.</w:t>
      </w:r>
      <w:r w:rsidR="006947F9" w:rsidRPr="006947F9">
        <w:t xml:space="preserve"> </w:t>
      </w:r>
      <w:r w:rsidR="006947F9">
        <w:rPr>
          <w:rFonts w:eastAsiaTheme="minorEastAsia"/>
        </w:rPr>
        <w:t>Not knowing</w:t>
      </w:r>
      <w:r w:rsidR="006947F9" w:rsidRPr="006947F9">
        <w:rPr>
          <w:rFonts w:eastAsiaTheme="minorEastAsia"/>
        </w:rPr>
        <w:t xml:space="preserve"> know the underlying mediation model in advance, using a single distance alone could miss important mediating effects. The proposed omnibus test, which simultaneously considers multiple distance metrics, achieves a single </w:t>
      </w:r>
      <w:r w:rsidR="006947F9">
        <w:rPr>
          <w:rFonts w:eastAsiaTheme="minorEastAsia"/>
        </w:rPr>
        <w:t>p</w:t>
      </w:r>
      <w:r w:rsidR="006947F9" w:rsidRPr="006947F9">
        <w:rPr>
          <w:rFonts w:eastAsiaTheme="minorEastAsia"/>
        </w:rPr>
        <w:t>-value of 0.</w:t>
      </w:r>
      <w:r w:rsidR="006947F9">
        <w:rPr>
          <w:rFonts w:eastAsiaTheme="minorEastAsia"/>
        </w:rPr>
        <w:t>033.</w:t>
      </w:r>
    </w:p>
    <w:p w14:paraId="0ABA0F74" w14:textId="1EEF7A9B" w:rsidR="006947F9" w:rsidRDefault="006947F9" w:rsidP="00A850D2">
      <w:pPr>
        <w:pStyle w:val="Header"/>
        <w:spacing w:line="276" w:lineRule="auto"/>
        <w:jc w:val="both"/>
        <w:rPr>
          <w:rFonts w:eastAsiaTheme="minorEastAsia"/>
        </w:rPr>
      </w:pPr>
    </w:p>
    <w:p w14:paraId="31355E48" w14:textId="500273F1" w:rsidR="006947F9" w:rsidRPr="006947F9" w:rsidRDefault="006947F9" w:rsidP="006947F9">
      <w:pPr>
        <w:pStyle w:val="Caption"/>
        <w:keepNext/>
        <w:rPr>
          <w:color w:val="000000" w:themeColor="text1"/>
        </w:rPr>
      </w:pPr>
      <w:r w:rsidRPr="006947F9">
        <w:rPr>
          <w:color w:val="000000" w:themeColor="text1"/>
        </w:rPr>
        <w:t xml:space="preserve">Table </w:t>
      </w:r>
      <w:r w:rsidRPr="006947F9">
        <w:rPr>
          <w:color w:val="000000" w:themeColor="text1"/>
        </w:rPr>
        <w:fldChar w:fldCharType="begin"/>
      </w:r>
      <w:r w:rsidRPr="006947F9">
        <w:rPr>
          <w:color w:val="000000" w:themeColor="text1"/>
        </w:rPr>
        <w:instrText xml:space="preserve"> SEQ Table \* ARABIC </w:instrText>
      </w:r>
      <w:r w:rsidRPr="006947F9">
        <w:rPr>
          <w:color w:val="000000" w:themeColor="text1"/>
        </w:rPr>
        <w:fldChar w:fldCharType="separate"/>
      </w:r>
      <w:r>
        <w:rPr>
          <w:noProof/>
          <w:color w:val="000000" w:themeColor="text1"/>
        </w:rPr>
        <w:t>1</w:t>
      </w:r>
      <w:r w:rsidRPr="006947F9">
        <w:rPr>
          <w:color w:val="000000" w:themeColor="text1"/>
        </w:rPr>
        <w:fldChar w:fldCharType="end"/>
      </w:r>
      <w:r w:rsidRPr="006947F9">
        <w:rPr>
          <w:color w:val="000000" w:themeColor="text1"/>
        </w:rPr>
        <w:t>: p-values for association tests between fibre intake (X), BMI (Y) and microbiome (M). Reproduced from Wu et al. (2011).</w:t>
      </w:r>
    </w:p>
    <w:tbl>
      <w:tblPr>
        <w:tblStyle w:val="TableGrid"/>
        <w:tblW w:w="0" w:type="auto"/>
        <w:tblLook w:val="04A0" w:firstRow="1" w:lastRow="0" w:firstColumn="1" w:lastColumn="0" w:noHBand="0" w:noVBand="1"/>
      </w:tblPr>
      <w:tblGrid>
        <w:gridCol w:w="1615"/>
        <w:gridCol w:w="2578"/>
        <w:gridCol w:w="2578"/>
        <w:gridCol w:w="2579"/>
      </w:tblGrid>
      <w:tr w:rsidR="006947F9" w14:paraId="08C274A9" w14:textId="77777777" w:rsidTr="006947F9">
        <w:tc>
          <w:tcPr>
            <w:tcW w:w="1615" w:type="dxa"/>
            <w:vAlign w:val="center"/>
          </w:tcPr>
          <w:p w14:paraId="386BCCAF" w14:textId="77777777" w:rsidR="006947F9" w:rsidRDefault="006947F9" w:rsidP="006947F9">
            <w:pPr>
              <w:pStyle w:val="Header"/>
              <w:spacing w:line="276" w:lineRule="auto"/>
              <w:contextualSpacing/>
              <w:jc w:val="center"/>
              <w:rPr>
                <w:rFonts w:eastAsiaTheme="minorEastAsia"/>
              </w:rPr>
            </w:pPr>
          </w:p>
        </w:tc>
        <w:tc>
          <w:tcPr>
            <w:tcW w:w="2578" w:type="dxa"/>
            <w:vAlign w:val="center"/>
          </w:tcPr>
          <w:p w14:paraId="1A9823F4" w14:textId="1D3E0353" w:rsidR="006947F9" w:rsidRPr="006947F9" w:rsidRDefault="006947F9" w:rsidP="006947F9">
            <w:pPr>
              <w:pStyle w:val="Header"/>
              <w:spacing w:line="276" w:lineRule="auto"/>
              <w:contextualSpacing/>
              <w:jc w:val="center"/>
              <w:rPr>
                <w:rFonts w:eastAsiaTheme="minorEastAsia"/>
                <w:b/>
                <w:bCs/>
              </w:rPr>
            </w:pPr>
            <m:oMathPara>
              <m:oMath>
                <m:r>
                  <m:rPr>
                    <m:sty m:val="bi"/>
                  </m:rPr>
                  <w:rPr>
                    <w:rFonts w:ascii="Cambria Math" w:eastAsiaTheme="minorEastAsia" w:hAnsi="Cambria Math"/>
                  </w:rPr>
                  <m:t xml:space="preserve">Y </m:t>
                </m:r>
                <m:r>
                  <m:rPr>
                    <m:sty m:val="b"/>
                  </m:rPr>
                  <w:rPr>
                    <w:rFonts w:ascii="Cambria Math" w:eastAsiaTheme="minorEastAsia" w:hAnsi="Cambria Math"/>
                  </w:rPr>
                  <m:t>∼</m:t>
                </m:r>
                <m:r>
                  <m:rPr>
                    <m:sty m:val="bi"/>
                  </m:rPr>
                  <w:rPr>
                    <w:rFonts w:ascii="Cambria Math" w:eastAsiaTheme="minorEastAsia" w:hAnsi="Cambria Math"/>
                  </w:rPr>
                  <m:t>X</m:t>
                </m:r>
              </m:oMath>
            </m:oMathPara>
          </w:p>
        </w:tc>
        <w:tc>
          <w:tcPr>
            <w:tcW w:w="2578" w:type="dxa"/>
            <w:vAlign w:val="center"/>
          </w:tcPr>
          <w:p w14:paraId="59A8095A" w14:textId="7AAC205E" w:rsidR="006947F9" w:rsidRPr="006947F9" w:rsidRDefault="006947F9" w:rsidP="006947F9">
            <w:pPr>
              <w:pStyle w:val="Header"/>
              <w:spacing w:line="276" w:lineRule="auto"/>
              <w:contextualSpacing/>
              <w:jc w:val="center"/>
              <w:rPr>
                <w:rFonts w:eastAsiaTheme="minorEastAsia"/>
                <w:b/>
                <w:bCs/>
              </w:rPr>
            </w:pPr>
            <m:oMathPara>
              <m:oMath>
                <m:r>
                  <m:rPr>
                    <m:sty m:val="bi"/>
                  </m:rPr>
                  <w:rPr>
                    <w:rFonts w:ascii="Cambria Math" w:eastAsiaTheme="minorEastAsia" w:hAnsi="Cambria Math"/>
                  </w:rPr>
                  <m:t xml:space="preserve">M </m:t>
                </m:r>
                <m:r>
                  <m:rPr>
                    <m:sty m:val="b"/>
                  </m:rPr>
                  <w:rPr>
                    <w:rFonts w:ascii="Cambria Math" w:eastAsiaTheme="minorEastAsia" w:hAnsi="Cambria Math"/>
                  </w:rPr>
                  <m:t>∼</m:t>
                </m:r>
                <m:r>
                  <m:rPr>
                    <m:sty m:val="bi"/>
                  </m:rPr>
                  <w:rPr>
                    <w:rFonts w:ascii="Cambria Math" w:eastAsiaTheme="minorEastAsia" w:hAnsi="Cambria Math"/>
                  </w:rPr>
                  <m:t>X</m:t>
                </m:r>
              </m:oMath>
            </m:oMathPara>
          </w:p>
        </w:tc>
        <w:tc>
          <w:tcPr>
            <w:tcW w:w="2579" w:type="dxa"/>
            <w:vAlign w:val="center"/>
          </w:tcPr>
          <w:p w14:paraId="1E7BA700" w14:textId="47DEF16F" w:rsidR="006947F9" w:rsidRPr="006947F9" w:rsidRDefault="006947F9" w:rsidP="006947F9">
            <w:pPr>
              <w:pStyle w:val="Header"/>
              <w:spacing w:line="276" w:lineRule="auto"/>
              <w:contextualSpacing/>
              <w:jc w:val="center"/>
              <w:rPr>
                <w:rFonts w:eastAsiaTheme="minorEastAsia"/>
                <w:b/>
                <w:bCs/>
              </w:rPr>
            </w:pPr>
            <m:oMathPara>
              <m:oMath>
                <m:r>
                  <m:rPr>
                    <m:sty m:val="bi"/>
                  </m:rPr>
                  <w:rPr>
                    <w:rFonts w:ascii="Cambria Math" w:eastAsiaTheme="minorEastAsia" w:hAnsi="Cambria Math"/>
                  </w:rPr>
                  <m:t xml:space="preserve">Y </m:t>
                </m:r>
                <m:r>
                  <m:rPr>
                    <m:sty m:val="b"/>
                  </m:rPr>
                  <w:rPr>
                    <w:rFonts w:ascii="Cambria Math" w:eastAsiaTheme="minorEastAsia" w:hAnsi="Cambria Math"/>
                  </w:rPr>
                  <m:t>∼</m:t>
                </m:r>
                <m:r>
                  <m:rPr>
                    <m:sty m:val="bi"/>
                  </m:rPr>
                  <w:rPr>
                    <w:rFonts w:ascii="Cambria Math" w:eastAsiaTheme="minorEastAsia" w:hAnsi="Cambria Math"/>
                  </w:rPr>
                  <m:t>M</m:t>
                </m:r>
              </m:oMath>
            </m:oMathPara>
          </w:p>
        </w:tc>
      </w:tr>
      <w:tr w:rsidR="006947F9" w14:paraId="1DD86042" w14:textId="77777777" w:rsidTr="006947F9">
        <w:tc>
          <w:tcPr>
            <w:tcW w:w="1615" w:type="dxa"/>
            <w:vAlign w:val="center"/>
          </w:tcPr>
          <w:p w14:paraId="270219B7" w14:textId="5BC598B9" w:rsidR="006947F9" w:rsidRPr="006947F9" w:rsidRDefault="006947F9" w:rsidP="006947F9">
            <w:pPr>
              <w:pStyle w:val="Header"/>
              <w:spacing w:line="276" w:lineRule="auto"/>
              <w:contextualSpacing/>
              <w:rPr>
                <w:rFonts w:eastAsiaTheme="minorEastAsia"/>
                <w:b/>
                <w:bCs/>
              </w:rPr>
            </w:pPr>
            <w:r w:rsidRPr="006947F9">
              <w:rPr>
                <w:rFonts w:eastAsiaTheme="minorEastAsia"/>
                <w:b/>
                <w:bCs/>
              </w:rPr>
              <w:t>p-value</w:t>
            </w:r>
          </w:p>
        </w:tc>
        <w:tc>
          <w:tcPr>
            <w:tcW w:w="2578" w:type="dxa"/>
            <w:vAlign w:val="center"/>
          </w:tcPr>
          <w:p w14:paraId="16A13C4D" w14:textId="0A2B256F" w:rsidR="006947F9" w:rsidRDefault="006947F9" w:rsidP="006947F9">
            <w:pPr>
              <w:pStyle w:val="Header"/>
              <w:spacing w:line="276" w:lineRule="auto"/>
              <w:contextualSpacing/>
              <w:jc w:val="center"/>
              <w:rPr>
                <w:rFonts w:eastAsiaTheme="minorEastAsia"/>
              </w:rPr>
            </w:pPr>
            <w:r>
              <w:rPr>
                <w:rFonts w:eastAsiaTheme="minorEastAsia"/>
              </w:rPr>
              <w:t>0.022</w:t>
            </w:r>
          </w:p>
        </w:tc>
        <w:tc>
          <w:tcPr>
            <w:tcW w:w="2578" w:type="dxa"/>
            <w:vAlign w:val="center"/>
          </w:tcPr>
          <w:p w14:paraId="42932001" w14:textId="79EA8D82" w:rsidR="006947F9" w:rsidRDefault="006947F9" w:rsidP="006947F9">
            <w:pPr>
              <w:pStyle w:val="Header"/>
              <w:spacing w:line="276" w:lineRule="auto"/>
              <w:contextualSpacing/>
              <w:jc w:val="center"/>
              <w:rPr>
                <w:rFonts w:eastAsiaTheme="minorEastAsia"/>
              </w:rPr>
            </w:pPr>
            <w:r>
              <w:rPr>
                <w:rFonts w:eastAsiaTheme="minorEastAsia"/>
              </w:rPr>
              <w:t>0.039</w:t>
            </w:r>
          </w:p>
        </w:tc>
        <w:tc>
          <w:tcPr>
            <w:tcW w:w="2579" w:type="dxa"/>
            <w:vAlign w:val="center"/>
          </w:tcPr>
          <w:p w14:paraId="213F8B86" w14:textId="71707201" w:rsidR="006947F9" w:rsidRDefault="006947F9" w:rsidP="006947F9">
            <w:pPr>
              <w:pStyle w:val="Header"/>
              <w:spacing w:line="276" w:lineRule="auto"/>
              <w:contextualSpacing/>
              <w:jc w:val="center"/>
              <w:rPr>
                <w:rFonts w:eastAsiaTheme="minorEastAsia"/>
              </w:rPr>
            </w:pPr>
            <w:r>
              <w:rPr>
                <w:rFonts w:eastAsiaTheme="minorEastAsia"/>
              </w:rPr>
              <w:t>0.030</w:t>
            </w:r>
          </w:p>
        </w:tc>
      </w:tr>
    </w:tbl>
    <w:p w14:paraId="643F5F41" w14:textId="4EE0FD2D" w:rsidR="006947F9" w:rsidRDefault="006947F9" w:rsidP="00A850D2">
      <w:pPr>
        <w:pStyle w:val="Header"/>
        <w:spacing w:line="276" w:lineRule="auto"/>
        <w:jc w:val="both"/>
        <w:rPr>
          <w:rFonts w:eastAsiaTheme="minorEastAsia"/>
        </w:rPr>
      </w:pPr>
    </w:p>
    <w:p w14:paraId="1CC31EC7" w14:textId="47AD566F" w:rsidR="006947F9" w:rsidRPr="006947F9" w:rsidRDefault="006947F9" w:rsidP="006947F9">
      <w:pPr>
        <w:pStyle w:val="Caption"/>
        <w:keepNext/>
        <w:rPr>
          <w:color w:val="000000" w:themeColor="text1"/>
        </w:rPr>
      </w:pPr>
      <w:r w:rsidRPr="006947F9">
        <w:rPr>
          <w:color w:val="000000" w:themeColor="text1"/>
        </w:rPr>
        <w:t xml:space="preserve">Table </w:t>
      </w:r>
      <w:r w:rsidRPr="006947F9">
        <w:rPr>
          <w:color w:val="000000" w:themeColor="text1"/>
        </w:rPr>
        <w:fldChar w:fldCharType="begin"/>
      </w:r>
      <w:r w:rsidRPr="006947F9">
        <w:rPr>
          <w:color w:val="000000" w:themeColor="text1"/>
        </w:rPr>
        <w:instrText xml:space="preserve"> SEQ Table \* ARABIC </w:instrText>
      </w:r>
      <w:r w:rsidRPr="006947F9">
        <w:rPr>
          <w:color w:val="000000" w:themeColor="text1"/>
        </w:rPr>
        <w:fldChar w:fldCharType="separate"/>
      </w:r>
      <w:r w:rsidRPr="006947F9">
        <w:rPr>
          <w:noProof/>
          <w:color w:val="000000" w:themeColor="text1"/>
        </w:rPr>
        <w:t>2</w:t>
      </w:r>
      <w:r w:rsidRPr="006947F9">
        <w:rPr>
          <w:color w:val="000000" w:themeColor="text1"/>
        </w:rPr>
        <w:fldChar w:fldCharType="end"/>
      </w:r>
      <w:r w:rsidRPr="006947F9">
        <w:rPr>
          <w:color w:val="000000" w:themeColor="text1"/>
        </w:rPr>
        <w:t>: p-values for single distance</w:t>
      </w:r>
      <w:r>
        <w:rPr>
          <w:color w:val="000000" w:themeColor="text1"/>
        </w:rPr>
        <w:t>-</w:t>
      </w:r>
      <w:r w:rsidRPr="006947F9">
        <w:rPr>
          <w:color w:val="000000" w:themeColor="text1"/>
        </w:rPr>
        <w:t xml:space="preserve">based tests and the omnibus test. Single distance-based tests are based on the Bray-Curtis (BC), Jaccard (JAC), </w:t>
      </w:r>
      <w:proofErr w:type="spellStart"/>
      <w:r w:rsidRPr="006947F9">
        <w:rPr>
          <w:color w:val="000000" w:themeColor="text1"/>
        </w:rPr>
        <w:t>UniFrac</w:t>
      </w:r>
      <w:proofErr w:type="spellEnd"/>
      <w:r w:rsidRPr="006947F9">
        <w:rPr>
          <w:color w:val="000000" w:themeColor="text1"/>
        </w:rPr>
        <w:t xml:space="preserve">, weighted </w:t>
      </w:r>
      <w:proofErr w:type="spellStart"/>
      <w:r w:rsidRPr="006947F9">
        <w:rPr>
          <w:color w:val="000000" w:themeColor="text1"/>
        </w:rPr>
        <w:t>UniFrac</w:t>
      </w:r>
      <w:proofErr w:type="spellEnd"/>
      <w:r w:rsidRPr="006947F9">
        <w:rPr>
          <w:color w:val="000000" w:themeColor="text1"/>
        </w:rPr>
        <w:t xml:space="preserve"> (</w:t>
      </w:r>
      <w:proofErr w:type="spellStart"/>
      <w:r w:rsidRPr="006947F9">
        <w:rPr>
          <w:color w:val="000000" w:themeColor="text1"/>
        </w:rPr>
        <w:t>WUniFrac</w:t>
      </w:r>
      <w:proofErr w:type="spellEnd"/>
      <w:r w:rsidRPr="006947F9">
        <w:rPr>
          <w:color w:val="000000" w:themeColor="text1"/>
        </w:rPr>
        <w:t xml:space="preserve">) and generalised </w:t>
      </w:r>
      <w:proofErr w:type="spellStart"/>
      <w:r w:rsidRPr="006947F9">
        <w:rPr>
          <w:color w:val="000000" w:themeColor="text1"/>
        </w:rPr>
        <w:t>UniFrac</w:t>
      </w:r>
      <w:proofErr w:type="spellEnd"/>
      <w:r w:rsidRPr="006947F9">
        <w:rPr>
          <w:color w:val="000000" w:themeColor="text1"/>
        </w:rPr>
        <w:t xml:space="preserve"> (</w:t>
      </w:r>
      <w:proofErr w:type="spellStart"/>
      <w:r w:rsidRPr="006947F9">
        <w:rPr>
          <w:color w:val="000000" w:themeColor="text1"/>
        </w:rPr>
        <w:t>GUniFrac</w:t>
      </w:r>
      <w:proofErr w:type="spellEnd"/>
      <w:r w:rsidRPr="006947F9">
        <w:rPr>
          <w:color w:val="000000" w:themeColor="text1"/>
        </w:rPr>
        <w:t>) distances.</w:t>
      </w:r>
    </w:p>
    <w:tbl>
      <w:tblPr>
        <w:tblStyle w:val="TableGrid"/>
        <w:tblW w:w="0" w:type="auto"/>
        <w:tblLayout w:type="fixed"/>
        <w:tblLook w:val="04A0" w:firstRow="1" w:lastRow="0" w:firstColumn="1" w:lastColumn="0" w:noHBand="0" w:noVBand="1"/>
      </w:tblPr>
      <w:tblGrid>
        <w:gridCol w:w="1615"/>
        <w:gridCol w:w="1289"/>
        <w:gridCol w:w="1289"/>
        <w:gridCol w:w="1289"/>
        <w:gridCol w:w="1289"/>
        <w:gridCol w:w="1289"/>
        <w:gridCol w:w="1290"/>
      </w:tblGrid>
      <w:tr w:rsidR="006947F9" w14:paraId="3FDDF912" w14:textId="77777777" w:rsidTr="006947F9">
        <w:tc>
          <w:tcPr>
            <w:tcW w:w="1615" w:type="dxa"/>
            <w:vAlign w:val="center"/>
          </w:tcPr>
          <w:p w14:paraId="19DB9167" w14:textId="77777777" w:rsidR="006947F9" w:rsidRPr="006947F9" w:rsidRDefault="006947F9" w:rsidP="006947F9">
            <w:pPr>
              <w:pStyle w:val="Header"/>
              <w:spacing w:line="276" w:lineRule="auto"/>
              <w:jc w:val="center"/>
              <w:rPr>
                <w:rFonts w:eastAsiaTheme="minorEastAsia"/>
                <w:b/>
                <w:bCs/>
              </w:rPr>
            </w:pPr>
          </w:p>
        </w:tc>
        <w:tc>
          <w:tcPr>
            <w:tcW w:w="1289" w:type="dxa"/>
            <w:vAlign w:val="center"/>
          </w:tcPr>
          <w:p w14:paraId="1765D956" w14:textId="6141942B" w:rsidR="006947F9" w:rsidRPr="006947F9" w:rsidRDefault="006947F9" w:rsidP="006947F9">
            <w:pPr>
              <w:pStyle w:val="Header"/>
              <w:spacing w:line="276" w:lineRule="auto"/>
              <w:jc w:val="center"/>
              <w:rPr>
                <w:rFonts w:eastAsiaTheme="minorEastAsia"/>
                <w:b/>
                <w:bCs/>
              </w:rPr>
            </w:pPr>
            <w:r w:rsidRPr="006947F9">
              <w:rPr>
                <w:rFonts w:eastAsiaTheme="minorEastAsia"/>
                <w:b/>
                <w:bCs/>
              </w:rPr>
              <w:t>BC</w:t>
            </w:r>
          </w:p>
        </w:tc>
        <w:tc>
          <w:tcPr>
            <w:tcW w:w="1289" w:type="dxa"/>
            <w:vAlign w:val="center"/>
          </w:tcPr>
          <w:p w14:paraId="394F8592" w14:textId="6D9A11F0" w:rsidR="006947F9" w:rsidRPr="006947F9" w:rsidRDefault="006947F9" w:rsidP="006947F9">
            <w:pPr>
              <w:pStyle w:val="Header"/>
              <w:spacing w:line="276" w:lineRule="auto"/>
              <w:jc w:val="center"/>
              <w:rPr>
                <w:rFonts w:eastAsiaTheme="minorEastAsia"/>
                <w:b/>
                <w:bCs/>
              </w:rPr>
            </w:pPr>
            <w:r w:rsidRPr="006947F9">
              <w:rPr>
                <w:rFonts w:eastAsiaTheme="minorEastAsia"/>
                <w:b/>
                <w:bCs/>
              </w:rPr>
              <w:t>JAC</w:t>
            </w:r>
          </w:p>
        </w:tc>
        <w:tc>
          <w:tcPr>
            <w:tcW w:w="1289" w:type="dxa"/>
            <w:vAlign w:val="center"/>
          </w:tcPr>
          <w:p w14:paraId="3AC3F6E6" w14:textId="3A384E40" w:rsidR="006947F9" w:rsidRPr="006947F9" w:rsidRDefault="006947F9" w:rsidP="006947F9">
            <w:pPr>
              <w:pStyle w:val="Header"/>
              <w:spacing w:line="276" w:lineRule="auto"/>
              <w:jc w:val="center"/>
              <w:rPr>
                <w:rFonts w:eastAsiaTheme="minorEastAsia"/>
                <w:b/>
                <w:bCs/>
              </w:rPr>
            </w:pPr>
            <w:proofErr w:type="spellStart"/>
            <w:r w:rsidRPr="006947F9">
              <w:rPr>
                <w:rFonts w:eastAsiaTheme="minorEastAsia"/>
                <w:b/>
                <w:bCs/>
              </w:rPr>
              <w:t>UniFrac</w:t>
            </w:r>
            <w:proofErr w:type="spellEnd"/>
          </w:p>
        </w:tc>
        <w:tc>
          <w:tcPr>
            <w:tcW w:w="1289" w:type="dxa"/>
            <w:vAlign w:val="center"/>
          </w:tcPr>
          <w:p w14:paraId="0AE3ACA0" w14:textId="442CB1AC" w:rsidR="006947F9" w:rsidRPr="006947F9" w:rsidRDefault="006947F9" w:rsidP="006947F9">
            <w:pPr>
              <w:pStyle w:val="Header"/>
              <w:spacing w:line="276" w:lineRule="auto"/>
              <w:jc w:val="center"/>
              <w:rPr>
                <w:rFonts w:eastAsiaTheme="minorEastAsia"/>
                <w:b/>
                <w:bCs/>
              </w:rPr>
            </w:pPr>
            <w:proofErr w:type="spellStart"/>
            <w:r w:rsidRPr="006947F9">
              <w:rPr>
                <w:rFonts w:eastAsiaTheme="minorEastAsia"/>
                <w:b/>
                <w:bCs/>
              </w:rPr>
              <w:t>WUniFrac</w:t>
            </w:r>
            <w:proofErr w:type="spellEnd"/>
          </w:p>
        </w:tc>
        <w:tc>
          <w:tcPr>
            <w:tcW w:w="1289" w:type="dxa"/>
            <w:vAlign w:val="center"/>
          </w:tcPr>
          <w:p w14:paraId="5B622C26" w14:textId="115FEEB1" w:rsidR="006947F9" w:rsidRPr="006947F9" w:rsidRDefault="006947F9" w:rsidP="006947F9">
            <w:pPr>
              <w:pStyle w:val="Header"/>
              <w:spacing w:line="276" w:lineRule="auto"/>
              <w:jc w:val="center"/>
              <w:rPr>
                <w:rFonts w:eastAsiaTheme="minorEastAsia"/>
                <w:b/>
                <w:bCs/>
              </w:rPr>
            </w:pPr>
            <w:proofErr w:type="spellStart"/>
            <w:r w:rsidRPr="006947F9">
              <w:rPr>
                <w:rFonts w:eastAsiaTheme="minorEastAsia"/>
                <w:b/>
                <w:bCs/>
              </w:rPr>
              <w:t>GUniFrac</w:t>
            </w:r>
            <w:proofErr w:type="spellEnd"/>
          </w:p>
        </w:tc>
        <w:tc>
          <w:tcPr>
            <w:tcW w:w="1290" w:type="dxa"/>
            <w:vAlign w:val="center"/>
          </w:tcPr>
          <w:p w14:paraId="60448638" w14:textId="6BBD0729" w:rsidR="006947F9" w:rsidRPr="006947F9" w:rsidRDefault="006947F9" w:rsidP="006947F9">
            <w:pPr>
              <w:pStyle w:val="Header"/>
              <w:spacing w:line="276" w:lineRule="auto"/>
              <w:jc w:val="center"/>
              <w:rPr>
                <w:rFonts w:eastAsiaTheme="minorEastAsia"/>
                <w:b/>
                <w:bCs/>
              </w:rPr>
            </w:pPr>
            <w:r w:rsidRPr="006947F9">
              <w:rPr>
                <w:rFonts w:eastAsiaTheme="minorEastAsia"/>
                <w:b/>
                <w:bCs/>
              </w:rPr>
              <w:t>Omnibus</w:t>
            </w:r>
          </w:p>
        </w:tc>
      </w:tr>
      <w:tr w:rsidR="006947F9" w14:paraId="03A55B37" w14:textId="77777777" w:rsidTr="00062B59">
        <w:tc>
          <w:tcPr>
            <w:tcW w:w="1615" w:type="dxa"/>
            <w:vAlign w:val="center"/>
          </w:tcPr>
          <w:p w14:paraId="41A90281" w14:textId="224BC8BA" w:rsidR="006947F9" w:rsidRPr="006947F9" w:rsidRDefault="006947F9" w:rsidP="006947F9">
            <w:pPr>
              <w:pStyle w:val="Header"/>
              <w:spacing w:line="276" w:lineRule="auto"/>
              <w:rPr>
                <w:rFonts w:eastAsiaTheme="minorEastAsia"/>
                <w:b/>
                <w:bCs/>
              </w:rPr>
            </w:pPr>
            <w:r w:rsidRPr="006947F9">
              <w:rPr>
                <w:rFonts w:eastAsiaTheme="minorEastAsia"/>
                <w:b/>
                <w:bCs/>
              </w:rPr>
              <w:t>p-value</w:t>
            </w:r>
          </w:p>
        </w:tc>
        <w:tc>
          <w:tcPr>
            <w:tcW w:w="1289" w:type="dxa"/>
          </w:tcPr>
          <w:p w14:paraId="0BD1D5F9" w14:textId="5AC9256B" w:rsidR="006947F9" w:rsidRDefault="006947F9" w:rsidP="006947F9">
            <w:pPr>
              <w:pStyle w:val="Header"/>
              <w:spacing w:line="276" w:lineRule="auto"/>
              <w:jc w:val="center"/>
              <w:rPr>
                <w:rFonts w:eastAsiaTheme="minorEastAsia"/>
              </w:rPr>
            </w:pPr>
            <w:r w:rsidRPr="007276E1">
              <w:t xml:space="preserve">0.539 </w:t>
            </w:r>
          </w:p>
        </w:tc>
        <w:tc>
          <w:tcPr>
            <w:tcW w:w="1289" w:type="dxa"/>
          </w:tcPr>
          <w:p w14:paraId="0C0A7366" w14:textId="24681CA6" w:rsidR="006947F9" w:rsidRDefault="006947F9" w:rsidP="006947F9">
            <w:pPr>
              <w:pStyle w:val="Header"/>
              <w:spacing w:line="276" w:lineRule="auto"/>
              <w:jc w:val="center"/>
              <w:rPr>
                <w:rFonts w:eastAsiaTheme="minorEastAsia"/>
              </w:rPr>
            </w:pPr>
            <w:r w:rsidRPr="007276E1">
              <w:t xml:space="preserve">0.007 </w:t>
            </w:r>
          </w:p>
        </w:tc>
        <w:tc>
          <w:tcPr>
            <w:tcW w:w="1289" w:type="dxa"/>
          </w:tcPr>
          <w:p w14:paraId="07F9BD8A" w14:textId="65B0836D" w:rsidR="006947F9" w:rsidRDefault="006947F9" w:rsidP="006947F9">
            <w:pPr>
              <w:pStyle w:val="Header"/>
              <w:spacing w:line="276" w:lineRule="auto"/>
              <w:jc w:val="center"/>
              <w:rPr>
                <w:rFonts w:eastAsiaTheme="minorEastAsia"/>
              </w:rPr>
            </w:pPr>
            <w:r w:rsidRPr="007276E1">
              <w:t xml:space="preserve">0.088 </w:t>
            </w:r>
          </w:p>
        </w:tc>
        <w:tc>
          <w:tcPr>
            <w:tcW w:w="1289" w:type="dxa"/>
          </w:tcPr>
          <w:p w14:paraId="12E9146D" w14:textId="3FAECD7B" w:rsidR="006947F9" w:rsidRDefault="006947F9" w:rsidP="006947F9">
            <w:pPr>
              <w:pStyle w:val="Header"/>
              <w:spacing w:line="276" w:lineRule="auto"/>
              <w:jc w:val="center"/>
              <w:rPr>
                <w:rFonts w:eastAsiaTheme="minorEastAsia"/>
              </w:rPr>
            </w:pPr>
            <w:r w:rsidRPr="007276E1">
              <w:t>0.780</w:t>
            </w:r>
          </w:p>
        </w:tc>
        <w:tc>
          <w:tcPr>
            <w:tcW w:w="1289" w:type="dxa"/>
          </w:tcPr>
          <w:p w14:paraId="12C16368" w14:textId="19F9EC89" w:rsidR="006947F9" w:rsidRDefault="006947F9" w:rsidP="006947F9">
            <w:pPr>
              <w:pStyle w:val="Header"/>
              <w:spacing w:line="276" w:lineRule="auto"/>
              <w:jc w:val="center"/>
              <w:rPr>
                <w:rFonts w:eastAsiaTheme="minorEastAsia"/>
              </w:rPr>
            </w:pPr>
            <w:r w:rsidRPr="007276E1">
              <w:t xml:space="preserve">0.573 </w:t>
            </w:r>
          </w:p>
        </w:tc>
        <w:tc>
          <w:tcPr>
            <w:tcW w:w="1290" w:type="dxa"/>
            <w:vAlign w:val="center"/>
          </w:tcPr>
          <w:p w14:paraId="200F3D0A" w14:textId="3A44835E" w:rsidR="006947F9" w:rsidRDefault="006947F9" w:rsidP="006947F9">
            <w:pPr>
              <w:pStyle w:val="Header"/>
              <w:spacing w:line="276" w:lineRule="auto"/>
              <w:jc w:val="center"/>
              <w:rPr>
                <w:rFonts w:eastAsiaTheme="minorEastAsia"/>
              </w:rPr>
            </w:pPr>
            <w:r>
              <w:rPr>
                <w:rFonts w:eastAsiaTheme="minorEastAsia"/>
              </w:rPr>
              <w:t>0.033</w:t>
            </w:r>
          </w:p>
        </w:tc>
      </w:tr>
    </w:tbl>
    <w:p w14:paraId="285D76A0" w14:textId="25A718FB" w:rsidR="006947F9" w:rsidRPr="00D10869" w:rsidRDefault="006947F9" w:rsidP="00A850D2">
      <w:pPr>
        <w:pStyle w:val="Header"/>
        <w:spacing w:line="276" w:lineRule="auto"/>
        <w:jc w:val="both"/>
        <w:rPr>
          <w:rFonts w:eastAsiaTheme="minorEastAsia"/>
        </w:rPr>
      </w:pPr>
    </w:p>
    <w:p w14:paraId="362688C3" w14:textId="511DDC7E" w:rsidR="00EC6581" w:rsidRPr="007A079D" w:rsidRDefault="00EC6581" w:rsidP="00A850D2">
      <w:pPr>
        <w:pStyle w:val="Header"/>
        <w:spacing w:line="276" w:lineRule="auto"/>
        <w:jc w:val="both"/>
        <w:rPr>
          <w:rFonts w:eastAsiaTheme="minorEastAsia"/>
          <w:b/>
          <w:bCs/>
          <w:color w:val="000000" w:themeColor="text1"/>
        </w:rPr>
      </w:pPr>
    </w:p>
    <w:p w14:paraId="01A0A585" w14:textId="32234C64" w:rsidR="007A079D" w:rsidRPr="007A079D" w:rsidRDefault="007A079D" w:rsidP="00A850D2">
      <w:pPr>
        <w:pStyle w:val="Header"/>
        <w:spacing w:line="276" w:lineRule="auto"/>
        <w:jc w:val="both"/>
        <w:rPr>
          <w:rFonts w:eastAsiaTheme="minorEastAsia"/>
          <w:b/>
          <w:bCs/>
          <w:i/>
          <w:iCs/>
          <w:color w:val="000000" w:themeColor="text1"/>
        </w:rPr>
      </w:pPr>
      <w:r w:rsidRPr="007A079D">
        <w:rPr>
          <w:rFonts w:eastAsiaTheme="minorEastAsia"/>
          <w:b/>
          <w:bCs/>
          <w:i/>
          <w:iCs/>
          <w:color w:val="000000" w:themeColor="text1"/>
        </w:rPr>
        <w:t>4. DISCUSSION</w:t>
      </w:r>
    </w:p>
    <w:p w14:paraId="65E6933B" w14:textId="5CB93F12" w:rsidR="00A51102" w:rsidRDefault="002B4B98" w:rsidP="00A850D2">
      <w:pPr>
        <w:pStyle w:val="Header"/>
        <w:spacing w:line="276" w:lineRule="auto"/>
        <w:jc w:val="both"/>
        <w:rPr>
          <w:rFonts w:eastAsiaTheme="minorEastAsia"/>
          <w:lang w:val="en-US"/>
        </w:rPr>
      </w:pPr>
      <w:r>
        <w:rPr>
          <w:rFonts w:eastAsiaTheme="minorEastAsia"/>
          <w:lang w:val="en-US"/>
        </w:rPr>
        <w:t xml:space="preserve">The omnibus test presented by the authors is shown to be robust and powerful in detecting a mediation structure, both by means of simulation studies as well as real data analysis. </w:t>
      </w:r>
      <w:r w:rsidR="0027695C">
        <w:rPr>
          <w:rFonts w:eastAsiaTheme="minorEastAsia"/>
          <w:lang w:val="en-US"/>
        </w:rPr>
        <w:t xml:space="preserve">The method is noted to be very general and may be extended to work for genetic data where linkage disequilibrium is of major significance. </w:t>
      </w:r>
      <w:r w:rsidR="005F6746" w:rsidRPr="005F6746">
        <w:rPr>
          <w:rFonts w:eastAsiaTheme="minorEastAsia"/>
          <w:lang w:val="en-US"/>
        </w:rPr>
        <w:t>The proposed method focuses on detecting an overall mediation effect by using an ensemble of distance measures.</w:t>
      </w:r>
      <w:r w:rsidR="005F6746">
        <w:rPr>
          <w:rFonts w:eastAsiaTheme="minorEastAsia"/>
          <w:lang w:val="en-US"/>
        </w:rPr>
        <w:t xml:space="preserve"> Future directions of research may involve being able to identify </w:t>
      </w:r>
      <w:proofErr w:type="gramStart"/>
      <w:r w:rsidR="002672F8">
        <w:rPr>
          <w:rFonts w:eastAsiaTheme="minorEastAsia"/>
          <w:lang w:val="en-US"/>
        </w:rPr>
        <w:t>those microbiota</w:t>
      </w:r>
      <w:proofErr w:type="gramEnd"/>
      <w:r w:rsidR="005F6746">
        <w:rPr>
          <w:rFonts w:eastAsiaTheme="minorEastAsia"/>
          <w:lang w:val="en-US"/>
        </w:rPr>
        <w:t xml:space="preserve"> that are most important within the mediation structure. </w:t>
      </w:r>
      <w:r w:rsidR="002672F8">
        <w:rPr>
          <w:rFonts w:eastAsiaTheme="minorEastAsia"/>
          <w:lang w:val="en-US"/>
        </w:rPr>
        <w:t>We note that this method suffers from the disadvantage of not being able to quantify direct and indirect effects, since direct mediation effects are not tested in this approach.</w:t>
      </w:r>
    </w:p>
    <w:p w14:paraId="49B579F1" w14:textId="5213FBAD" w:rsidR="0046408D" w:rsidRDefault="0046408D" w:rsidP="00A850D2">
      <w:pPr>
        <w:pStyle w:val="Header"/>
        <w:spacing w:line="276" w:lineRule="auto"/>
        <w:jc w:val="both"/>
        <w:rPr>
          <w:rFonts w:eastAsiaTheme="minorEastAsia"/>
          <w:lang w:val="en-US"/>
        </w:rPr>
      </w:pPr>
    </w:p>
    <w:p w14:paraId="63AAEF9E" w14:textId="4AD0AE61" w:rsidR="0046408D" w:rsidRPr="0046408D" w:rsidRDefault="0046408D" w:rsidP="00A850D2">
      <w:pPr>
        <w:pStyle w:val="Header"/>
        <w:spacing w:line="276" w:lineRule="auto"/>
        <w:jc w:val="both"/>
        <w:rPr>
          <w:rFonts w:eastAsiaTheme="minorEastAsia"/>
          <w:b/>
          <w:bCs/>
          <w:i/>
          <w:iCs/>
          <w:lang w:val="en-US"/>
        </w:rPr>
      </w:pPr>
      <w:r w:rsidRPr="0046408D">
        <w:rPr>
          <w:rFonts w:eastAsiaTheme="minorEastAsia"/>
          <w:b/>
          <w:bCs/>
          <w:i/>
          <w:iCs/>
          <w:lang w:val="en-US"/>
        </w:rPr>
        <w:t>5. NOTE ON REPRODUCIBILITY</w:t>
      </w:r>
    </w:p>
    <w:p w14:paraId="039BA8DF" w14:textId="532B03A9" w:rsidR="00A51102" w:rsidRDefault="0046408D" w:rsidP="00A850D2">
      <w:pPr>
        <w:pStyle w:val="Header"/>
        <w:spacing w:line="276" w:lineRule="auto"/>
        <w:jc w:val="both"/>
        <w:rPr>
          <w:rFonts w:eastAsiaTheme="minorEastAsia"/>
          <w:lang w:val="en-US"/>
        </w:rPr>
      </w:pPr>
      <w:r>
        <w:rPr>
          <w:rFonts w:eastAsiaTheme="minorEastAsia"/>
          <w:lang w:val="en-US"/>
        </w:rPr>
        <w:t xml:space="preserve">All the relevant code and data used in this report may be found in the </w:t>
      </w:r>
      <w:proofErr w:type="spellStart"/>
      <w:r>
        <w:rPr>
          <w:rFonts w:eastAsiaTheme="minorEastAsia"/>
          <w:lang w:val="en-US"/>
        </w:rPr>
        <w:t>Github</w:t>
      </w:r>
      <w:proofErr w:type="spellEnd"/>
      <w:r>
        <w:rPr>
          <w:rFonts w:eastAsiaTheme="minorEastAsia"/>
          <w:lang w:val="en-US"/>
        </w:rPr>
        <w:t xml:space="preserve"> repository: </w:t>
      </w:r>
      <w:r w:rsidRPr="0046408D">
        <w:rPr>
          <w:rFonts w:eastAsiaTheme="minorEastAsia"/>
          <w:lang w:val="en-US"/>
        </w:rPr>
        <w:t>https://github.com/soumikp/bios815</w:t>
      </w:r>
    </w:p>
    <w:p w14:paraId="6B7F3BFC" w14:textId="0B2D28CA" w:rsidR="00A51102" w:rsidRDefault="00A51102" w:rsidP="00A850D2">
      <w:pPr>
        <w:pStyle w:val="Header"/>
        <w:spacing w:line="276" w:lineRule="auto"/>
        <w:jc w:val="both"/>
        <w:rPr>
          <w:rFonts w:eastAsiaTheme="minorEastAsia"/>
          <w:lang w:val="en-US"/>
        </w:rPr>
      </w:pPr>
    </w:p>
    <w:p w14:paraId="5E8272C5" w14:textId="4D79E1E8" w:rsidR="00A51102" w:rsidRDefault="00A51102" w:rsidP="00A850D2">
      <w:pPr>
        <w:pStyle w:val="Header"/>
        <w:spacing w:line="276" w:lineRule="auto"/>
        <w:jc w:val="both"/>
        <w:rPr>
          <w:rFonts w:eastAsiaTheme="minorEastAsia"/>
          <w:lang w:val="en-US"/>
        </w:rPr>
      </w:pPr>
    </w:p>
    <w:p w14:paraId="57DC622A" w14:textId="3CAEB9C7" w:rsidR="00A51102" w:rsidRDefault="00A51102" w:rsidP="00A850D2">
      <w:pPr>
        <w:pStyle w:val="Header"/>
        <w:spacing w:line="276" w:lineRule="auto"/>
        <w:jc w:val="both"/>
        <w:rPr>
          <w:rFonts w:eastAsiaTheme="minorEastAsia"/>
          <w:lang w:val="en-US"/>
        </w:rPr>
      </w:pPr>
    </w:p>
    <w:p w14:paraId="5E40977C" w14:textId="6C4872DB" w:rsidR="00A51102" w:rsidRPr="0017715E" w:rsidRDefault="00C544E7" w:rsidP="00A850D2">
      <w:pPr>
        <w:pStyle w:val="Header"/>
        <w:spacing w:line="276" w:lineRule="auto"/>
        <w:jc w:val="both"/>
        <w:rPr>
          <w:rFonts w:eastAsiaTheme="minorEastAsia"/>
          <w:b/>
          <w:bCs/>
          <w:lang w:val="en-US"/>
        </w:rPr>
      </w:pPr>
      <w:r w:rsidRPr="0017715E">
        <w:rPr>
          <w:rFonts w:eastAsiaTheme="minorEastAsia"/>
          <w:b/>
          <w:bCs/>
          <w:lang w:val="en-US"/>
        </w:rPr>
        <w:lastRenderedPageBreak/>
        <w:t>REFERENCES</w:t>
      </w:r>
    </w:p>
    <w:p w14:paraId="7A3BEE55" w14:textId="68331A5A" w:rsidR="00A51102" w:rsidRDefault="00A51102" w:rsidP="00A850D2">
      <w:pPr>
        <w:pStyle w:val="Header"/>
        <w:spacing w:line="276" w:lineRule="auto"/>
        <w:jc w:val="both"/>
        <w:rPr>
          <w:rFonts w:eastAsiaTheme="minorEastAsia"/>
          <w:lang w:val="en-US"/>
        </w:rPr>
      </w:pPr>
    </w:p>
    <w:p w14:paraId="0BFC839E" w14:textId="77777777" w:rsidR="007A1B5D" w:rsidRPr="007A1B5D" w:rsidRDefault="00AD2166" w:rsidP="00077D4F">
      <w:pPr>
        <w:pStyle w:val="Bibliography"/>
        <w:spacing w:line="276" w:lineRule="auto"/>
        <w:rPr>
          <w:rFonts w:ascii="Calibri" w:cs="Calibri"/>
        </w:rPr>
      </w:pPr>
      <w:r>
        <w:rPr>
          <w:rFonts w:eastAsiaTheme="minorEastAsia"/>
        </w:rPr>
        <w:t xml:space="preserve"> </w:t>
      </w:r>
      <w:r w:rsidR="0017715E">
        <w:rPr>
          <w:rFonts w:eastAsiaTheme="minorEastAsia"/>
        </w:rPr>
        <w:fldChar w:fldCharType="begin"/>
      </w:r>
      <w:r w:rsidR="0017715E">
        <w:rPr>
          <w:rFonts w:eastAsiaTheme="minorEastAsia"/>
        </w:rPr>
        <w:instrText xml:space="preserve"> ADDIN ZOTERO_BIBL {"uncited":[],"omitted":[],"custom":[]} CSL_BIBLIOGRAPHY </w:instrText>
      </w:r>
      <w:r w:rsidR="0017715E">
        <w:rPr>
          <w:rFonts w:eastAsiaTheme="minorEastAsia"/>
        </w:rPr>
        <w:fldChar w:fldCharType="separate"/>
      </w:r>
      <w:r w:rsidR="007A1B5D" w:rsidRPr="007A1B5D">
        <w:rPr>
          <w:rFonts w:ascii="Calibri" w:cs="Calibri"/>
        </w:rPr>
        <w:t xml:space="preserve">Baron, R. M., &amp; Kenny, D. A. (1986). The moderator–mediator variable distinction in social psychological research: Conceptual, strategic, and statistical considerations. </w:t>
      </w:r>
      <w:r w:rsidR="007A1B5D" w:rsidRPr="007A1B5D">
        <w:rPr>
          <w:rFonts w:ascii="Calibri" w:cs="Calibri"/>
          <w:i/>
          <w:iCs/>
        </w:rPr>
        <w:t>Journal of Personality and Social Psychology</w:t>
      </w:r>
      <w:r w:rsidR="007A1B5D" w:rsidRPr="007A1B5D">
        <w:rPr>
          <w:rFonts w:ascii="Calibri" w:cs="Calibri"/>
        </w:rPr>
        <w:t xml:space="preserve">, </w:t>
      </w:r>
      <w:r w:rsidR="007A1B5D" w:rsidRPr="007A1B5D">
        <w:rPr>
          <w:rFonts w:ascii="Calibri" w:cs="Calibri"/>
          <w:i/>
          <w:iCs/>
        </w:rPr>
        <w:t>51</w:t>
      </w:r>
      <w:r w:rsidR="007A1B5D" w:rsidRPr="007A1B5D">
        <w:rPr>
          <w:rFonts w:ascii="Calibri" w:cs="Calibri"/>
        </w:rPr>
        <w:t>(6), 1173–1182. https://doi.org/10.1037/0022-3514.51.6.1173</w:t>
      </w:r>
    </w:p>
    <w:p w14:paraId="715209C8" w14:textId="77777777" w:rsidR="007A1B5D" w:rsidRPr="007A1B5D" w:rsidRDefault="007A1B5D" w:rsidP="00077D4F">
      <w:pPr>
        <w:pStyle w:val="Bibliography"/>
        <w:spacing w:line="276" w:lineRule="auto"/>
        <w:rPr>
          <w:rFonts w:ascii="Calibri" w:cs="Calibri"/>
        </w:rPr>
      </w:pPr>
      <w:r w:rsidRPr="007A1B5D">
        <w:rPr>
          <w:rFonts w:ascii="Calibri" w:cs="Calibri"/>
        </w:rPr>
        <w:t xml:space="preserve">Chen, J., </w:t>
      </w:r>
      <w:proofErr w:type="spellStart"/>
      <w:r w:rsidRPr="007A1B5D">
        <w:rPr>
          <w:rFonts w:ascii="Calibri" w:cs="Calibri"/>
        </w:rPr>
        <w:t>Bittinger</w:t>
      </w:r>
      <w:proofErr w:type="spellEnd"/>
      <w:r w:rsidRPr="007A1B5D">
        <w:rPr>
          <w:rFonts w:ascii="Calibri" w:cs="Calibri"/>
        </w:rPr>
        <w:t xml:space="preserve">, K., </w:t>
      </w:r>
      <w:proofErr w:type="spellStart"/>
      <w:r w:rsidRPr="007A1B5D">
        <w:rPr>
          <w:rFonts w:ascii="Calibri" w:cs="Calibri"/>
        </w:rPr>
        <w:t>Charlson</w:t>
      </w:r>
      <w:proofErr w:type="spellEnd"/>
      <w:r w:rsidRPr="007A1B5D">
        <w:rPr>
          <w:rFonts w:ascii="Calibri" w:cs="Calibri"/>
        </w:rPr>
        <w:t xml:space="preserve">, E. S., Hoffmann, C., Lewis, J., Wu, G. D., </w:t>
      </w:r>
      <w:proofErr w:type="spellStart"/>
      <w:r w:rsidRPr="007A1B5D">
        <w:rPr>
          <w:rFonts w:ascii="Calibri" w:cs="Calibri"/>
        </w:rPr>
        <w:t>Collman</w:t>
      </w:r>
      <w:proofErr w:type="spellEnd"/>
      <w:r w:rsidRPr="007A1B5D">
        <w:rPr>
          <w:rFonts w:ascii="Calibri" w:cs="Calibri"/>
        </w:rPr>
        <w:t xml:space="preserve">, R. G., Bushman, F. D., &amp; Li, H. (2012). Associating microbiome composition with environmental covariates using generalized </w:t>
      </w:r>
      <w:proofErr w:type="spellStart"/>
      <w:r w:rsidRPr="007A1B5D">
        <w:rPr>
          <w:rFonts w:ascii="Calibri" w:cs="Calibri"/>
        </w:rPr>
        <w:t>UniFrac</w:t>
      </w:r>
      <w:proofErr w:type="spellEnd"/>
      <w:r w:rsidRPr="007A1B5D">
        <w:rPr>
          <w:rFonts w:ascii="Calibri" w:cs="Calibri"/>
        </w:rPr>
        <w:t xml:space="preserve"> distances. </w:t>
      </w:r>
      <w:r w:rsidRPr="007A1B5D">
        <w:rPr>
          <w:rFonts w:ascii="Calibri" w:cs="Calibri"/>
          <w:i/>
          <w:iCs/>
        </w:rPr>
        <w:t>Bioinformatics</w:t>
      </w:r>
      <w:r w:rsidRPr="007A1B5D">
        <w:rPr>
          <w:rFonts w:ascii="Calibri" w:cs="Calibri"/>
        </w:rPr>
        <w:t xml:space="preserve">, </w:t>
      </w:r>
      <w:r w:rsidRPr="007A1B5D">
        <w:rPr>
          <w:rFonts w:ascii="Calibri" w:cs="Calibri"/>
          <w:i/>
          <w:iCs/>
        </w:rPr>
        <w:t>28</w:t>
      </w:r>
      <w:r w:rsidRPr="007A1B5D">
        <w:rPr>
          <w:rFonts w:ascii="Calibri" w:cs="Calibri"/>
        </w:rPr>
        <w:t>(16), 2106–2113. https://doi.org/10.1093/bioinformatics/bts342</w:t>
      </w:r>
    </w:p>
    <w:p w14:paraId="734E1F23" w14:textId="77777777" w:rsidR="007A1B5D" w:rsidRPr="007A1B5D" w:rsidRDefault="007A1B5D" w:rsidP="00077D4F">
      <w:pPr>
        <w:pStyle w:val="Bibliography"/>
        <w:spacing w:line="276" w:lineRule="auto"/>
        <w:rPr>
          <w:rFonts w:ascii="Calibri" w:cs="Calibri"/>
        </w:rPr>
      </w:pPr>
      <w:r w:rsidRPr="007A1B5D">
        <w:rPr>
          <w:rFonts w:ascii="Calibri" w:cs="Calibri"/>
        </w:rPr>
        <w:t xml:space="preserve">Faith, J. J., </w:t>
      </w:r>
      <w:proofErr w:type="spellStart"/>
      <w:r w:rsidRPr="007A1B5D">
        <w:rPr>
          <w:rFonts w:ascii="Calibri" w:cs="Calibri"/>
        </w:rPr>
        <w:t>Guruge</w:t>
      </w:r>
      <w:proofErr w:type="spellEnd"/>
      <w:r w:rsidRPr="007A1B5D">
        <w:rPr>
          <w:rFonts w:ascii="Calibri" w:cs="Calibri"/>
        </w:rPr>
        <w:t xml:space="preserve">, J. L., Charbonneau, M., Subramanian, S., </w:t>
      </w:r>
      <w:proofErr w:type="spellStart"/>
      <w:r w:rsidRPr="007A1B5D">
        <w:rPr>
          <w:rFonts w:ascii="Calibri" w:cs="Calibri"/>
        </w:rPr>
        <w:t>Seedorf</w:t>
      </w:r>
      <w:proofErr w:type="spellEnd"/>
      <w:r w:rsidRPr="007A1B5D">
        <w:rPr>
          <w:rFonts w:ascii="Calibri" w:cs="Calibri"/>
        </w:rPr>
        <w:t xml:space="preserve">, H., Goodman, A. L., Clemente, J. C., Knight, R., Heath, A. C., Leibel, R. L., Rosenbaum, M., &amp; Gordon, J. I. (2013). The Long-Term Stability of the Human Gut Microbiota. </w:t>
      </w:r>
      <w:r w:rsidRPr="007A1B5D">
        <w:rPr>
          <w:rFonts w:ascii="Calibri" w:cs="Calibri"/>
          <w:i/>
          <w:iCs/>
        </w:rPr>
        <w:t>Science</w:t>
      </w:r>
      <w:r w:rsidRPr="007A1B5D">
        <w:rPr>
          <w:rFonts w:ascii="Calibri" w:cs="Calibri"/>
        </w:rPr>
        <w:t xml:space="preserve">, </w:t>
      </w:r>
      <w:r w:rsidRPr="007A1B5D">
        <w:rPr>
          <w:rFonts w:ascii="Calibri" w:cs="Calibri"/>
          <w:i/>
          <w:iCs/>
        </w:rPr>
        <w:t>341</w:t>
      </w:r>
      <w:r w:rsidRPr="007A1B5D">
        <w:rPr>
          <w:rFonts w:ascii="Calibri" w:cs="Calibri"/>
        </w:rPr>
        <w:t>(6141), 1237439. https://doi.org/10.1126/science.1237439</w:t>
      </w:r>
    </w:p>
    <w:p w14:paraId="170D67B2" w14:textId="77777777" w:rsidR="007A1B5D" w:rsidRPr="007A1B5D" w:rsidRDefault="007A1B5D" w:rsidP="00077D4F">
      <w:pPr>
        <w:pStyle w:val="Bibliography"/>
        <w:spacing w:line="276" w:lineRule="auto"/>
        <w:rPr>
          <w:rFonts w:ascii="Calibri" w:cs="Calibri"/>
        </w:rPr>
      </w:pPr>
      <w:r w:rsidRPr="007A1B5D">
        <w:rPr>
          <w:rFonts w:ascii="Calibri" w:cs="Calibri"/>
        </w:rPr>
        <w:t xml:space="preserve">Grice, E. A., Kong, H. H., </w:t>
      </w:r>
      <w:proofErr w:type="spellStart"/>
      <w:r w:rsidRPr="007A1B5D">
        <w:rPr>
          <w:rFonts w:ascii="Calibri" w:cs="Calibri"/>
        </w:rPr>
        <w:t>Conlan</w:t>
      </w:r>
      <w:proofErr w:type="spellEnd"/>
      <w:r w:rsidRPr="007A1B5D">
        <w:rPr>
          <w:rFonts w:ascii="Calibri" w:cs="Calibri"/>
        </w:rPr>
        <w:t xml:space="preserve">, S., Deming, C. B., Davis, J., Young, A. C., NISC Comparative Sequencing Program, Bouffard, G. G., </w:t>
      </w:r>
      <w:proofErr w:type="spellStart"/>
      <w:r w:rsidRPr="007A1B5D">
        <w:rPr>
          <w:rFonts w:ascii="Calibri" w:cs="Calibri"/>
        </w:rPr>
        <w:t>Blakesley</w:t>
      </w:r>
      <w:proofErr w:type="spellEnd"/>
      <w:r w:rsidRPr="007A1B5D">
        <w:rPr>
          <w:rFonts w:ascii="Calibri" w:cs="Calibri"/>
        </w:rPr>
        <w:t xml:space="preserve">, R. W., Murray, P. R., Green, E. D., Turner, M. L., &amp; Segre, J. A. (2009). Topographical and Temporal Diversity of the Human Skin Microbiome. </w:t>
      </w:r>
      <w:r w:rsidRPr="007A1B5D">
        <w:rPr>
          <w:rFonts w:ascii="Calibri" w:cs="Calibri"/>
          <w:i/>
          <w:iCs/>
        </w:rPr>
        <w:t>Science</w:t>
      </w:r>
      <w:r w:rsidRPr="007A1B5D">
        <w:rPr>
          <w:rFonts w:ascii="Calibri" w:cs="Calibri"/>
        </w:rPr>
        <w:t xml:space="preserve">, </w:t>
      </w:r>
      <w:r w:rsidRPr="007A1B5D">
        <w:rPr>
          <w:rFonts w:ascii="Calibri" w:cs="Calibri"/>
          <w:i/>
          <w:iCs/>
        </w:rPr>
        <w:t>324</w:t>
      </w:r>
      <w:r w:rsidRPr="007A1B5D">
        <w:rPr>
          <w:rFonts w:ascii="Calibri" w:cs="Calibri"/>
        </w:rPr>
        <w:t>(5931), 1190–1192. https://doi.org/10.1126/science.1171700</w:t>
      </w:r>
    </w:p>
    <w:p w14:paraId="784FD361" w14:textId="77777777" w:rsidR="007A1B5D" w:rsidRPr="007A1B5D" w:rsidRDefault="007A1B5D" w:rsidP="00077D4F">
      <w:pPr>
        <w:pStyle w:val="Bibliography"/>
        <w:spacing w:line="276" w:lineRule="auto"/>
        <w:rPr>
          <w:rFonts w:ascii="Calibri" w:cs="Calibri"/>
        </w:rPr>
      </w:pPr>
      <w:r w:rsidRPr="007A1B5D">
        <w:rPr>
          <w:rFonts w:ascii="Calibri" w:cs="Calibri"/>
        </w:rPr>
        <w:t xml:space="preserve">Jolliffe, I. T., &amp; </w:t>
      </w:r>
      <w:proofErr w:type="spellStart"/>
      <w:r w:rsidRPr="007A1B5D">
        <w:rPr>
          <w:rFonts w:ascii="Calibri" w:cs="Calibri"/>
        </w:rPr>
        <w:t>Cadima</w:t>
      </w:r>
      <w:proofErr w:type="spellEnd"/>
      <w:r w:rsidRPr="007A1B5D">
        <w:rPr>
          <w:rFonts w:ascii="Calibri" w:cs="Calibri"/>
        </w:rPr>
        <w:t xml:space="preserve">, J. (2016). Principal component analysis: A review and recent developments. </w:t>
      </w:r>
      <w:r w:rsidRPr="007A1B5D">
        <w:rPr>
          <w:rFonts w:ascii="Calibri" w:cs="Calibri"/>
          <w:i/>
          <w:iCs/>
        </w:rPr>
        <w:t>Philosophical Transactions of the Royal Society A: Mathematical, Physical and Engineering Sciences</w:t>
      </w:r>
      <w:r w:rsidRPr="007A1B5D">
        <w:rPr>
          <w:rFonts w:ascii="Calibri" w:cs="Calibri"/>
        </w:rPr>
        <w:t xml:space="preserve">, </w:t>
      </w:r>
      <w:r w:rsidRPr="007A1B5D">
        <w:rPr>
          <w:rFonts w:ascii="Calibri" w:cs="Calibri"/>
          <w:i/>
          <w:iCs/>
        </w:rPr>
        <w:t>374</w:t>
      </w:r>
      <w:r w:rsidRPr="007A1B5D">
        <w:rPr>
          <w:rFonts w:ascii="Calibri" w:cs="Calibri"/>
        </w:rPr>
        <w:t>(2065), 20150202. https://doi.org/10.1098/rsta.2015.0202</w:t>
      </w:r>
    </w:p>
    <w:p w14:paraId="296D2787" w14:textId="77777777" w:rsidR="007A1B5D" w:rsidRPr="007A1B5D" w:rsidRDefault="007A1B5D" w:rsidP="00077D4F">
      <w:pPr>
        <w:pStyle w:val="Bibliography"/>
        <w:spacing w:line="276" w:lineRule="auto"/>
        <w:rPr>
          <w:rFonts w:ascii="Calibri" w:cs="Calibri"/>
        </w:rPr>
      </w:pPr>
      <w:proofErr w:type="spellStart"/>
      <w:r w:rsidRPr="007A1B5D">
        <w:rPr>
          <w:rFonts w:ascii="Calibri" w:cs="Calibri"/>
        </w:rPr>
        <w:t>Lozupone</w:t>
      </w:r>
      <w:proofErr w:type="spellEnd"/>
      <w:r w:rsidRPr="007A1B5D">
        <w:rPr>
          <w:rFonts w:ascii="Calibri" w:cs="Calibri"/>
        </w:rPr>
        <w:t xml:space="preserve">, C. A., Stombaugh, J. I., Gordon, J. I., Jansson, J. K., &amp; Knight, R. (2012). Diversity, </w:t>
      </w:r>
      <w:proofErr w:type="gramStart"/>
      <w:r w:rsidRPr="007A1B5D">
        <w:rPr>
          <w:rFonts w:ascii="Calibri" w:cs="Calibri"/>
        </w:rPr>
        <w:t>stability</w:t>
      </w:r>
      <w:proofErr w:type="gramEnd"/>
      <w:r w:rsidRPr="007A1B5D">
        <w:rPr>
          <w:rFonts w:ascii="Calibri" w:cs="Calibri"/>
        </w:rPr>
        <w:t xml:space="preserve"> and resilience of the human gut microbiota. </w:t>
      </w:r>
      <w:r w:rsidRPr="007A1B5D">
        <w:rPr>
          <w:rFonts w:ascii="Calibri" w:cs="Calibri"/>
          <w:i/>
          <w:iCs/>
        </w:rPr>
        <w:t>Nature</w:t>
      </w:r>
      <w:r w:rsidRPr="007A1B5D">
        <w:rPr>
          <w:rFonts w:ascii="Calibri" w:cs="Calibri"/>
        </w:rPr>
        <w:t xml:space="preserve">, </w:t>
      </w:r>
      <w:r w:rsidRPr="007A1B5D">
        <w:rPr>
          <w:rFonts w:ascii="Calibri" w:cs="Calibri"/>
          <w:i/>
          <w:iCs/>
        </w:rPr>
        <w:t>489</w:t>
      </w:r>
      <w:r w:rsidRPr="007A1B5D">
        <w:rPr>
          <w:rFonts w:ascii="Calibri" w:cs="Calibri"/>
        </w:rPr>
        <w:t>(7415), 220–230. https://doi.org/10.1038/nature11550</w:t>
      </w:r>
    </w:p>
    <w:p w14:paraId="5B92201C" w14:textId="77777777" w:rsidR="007A1B5D" w:rsidRPr="007A1B5D" w:rsidRDefault="007A1B5D" w:rsidP="00077D4F">
      <w:pPr>
        <w:pStyle w:val="Bibliography"/>
        <w:spacing w:line="276" w:lineRule="auto"/>
        <w:rPr>
          <w:rFonts w:ascii="Calibri" w:cs="Calibri"/>
        </w:rPr>
      </w:pPr>
      <w:proofErr w:type="spellStart"/>
      <w:r w:rsidRPr="007A1B5D">
        <w:rPr>
          <w:rFonts w:ascii="Calibri" w:cs="Calibri"/>
        </w:rPr>
        <w:t>MetaHIT</w:t>
      </w:r>
      <w:proofErr w:type="spellEnd"/>
      <w:r w:rsidRPr="007A1B5D">
        <w:rPr>
          <w:rFonts w:ascii="Calibri" w:cs="Calibri"/>
        </w:rPr>
        <w:t xml:space="preserve"> Consortium (additional members), Arumugam, M., </w:t>
      </w:r>
      <w:proofErr w:type="spellStart"/>
      <w:r w:rsidRPr="007A1B5D">
        <w:rPr>
          <w:rFonts w:ascii="Calibri" w:cs="Calibri"/>
        </w:rPr>
        <w:t>Raes</w:t>
      </w:r>
      <w:proofErr w:type="spellEnd"/>
      <w:r w:rsidRPr="007A1B5D">
        <w:rPr>
          <w:rFonts w:ascii="Calibri" w:cs="Calibri"/>
        </w:rPr>
        <w:t xml:space="preserve">, J., Pelletier, E., Le </w:t>
      </w:r>
      <w:proofErr w:type="spellStart"/>
      <w:r w:rsidRPr="007A1B5D">
        <w:rPr>
          <w:rFonts w:ascii="Calibri" w:cs="Calibri"/>
        </w:rPr>
        <w:t>Paslier</w:t>
      </w:r>
      <w:proofErr w:type="spellEnd"/>
      <w:r w:rsidRPr="007A1B5D">
        <w:rPr>
          <w:rFonts w:ascii="Calibri" w:cs="Calibri"/>
        </w:rPr>
        <w:t xml:space="preserve">, D., Yamada, T., Mende, D. R., Fernandes, G. R., Tap, J., </w:t>
      </w:r>
      <w:proofErr w:type="spellStart"/>
      <w:r w:rsidRPr="007A1B5D">
        <w:rPr>
          <w:rFonts w:ascii="Calibri" w:cs="Calibri"/>
        </w:rPr>
        <w:t>Bruls</w:t>
      </w:r>
      <w:proofErr w:type="spellEnd"/>
      <w:r w:rsidRPr="007A1B5D">
        <w:rPr>
          <w:rFonts w:ascii="Calibri" w:cs="Calibri"/>
        </w:rPr>
        <w:t xml:space="preserve">, T., </w:t>
      </w:r>
      <w:proofErr w:type="spellStart"/>
      <w:r w:rsidRPr="007A1B5D">
        <w:rPr>
          <w:rFonts w:ascii="Calibri" w:cs="Calibri"/>
        </w:rPr>
        <w:t>Batto</w:t>
      </w:r>
      <w:proofErr w:type="spellEnd"/>
      <w:r w:rsidRPr="007A1B5D">
        <w:rPr>
          <w:rFonts w:ascii="Calibri" w:cs="Calibri"/>
        </w:rPr>
        <w:t xml:space="preserve">, J.-M., </w:t>
      </w:r>
      <w:proofErr w:type="spellStart"/>
      <w:r w:rsidRPr="007A1B5D">
        <w:rPr>
          <w:rFonts w:ascii="Calibri" w:cs="Calibri"/>
        </w:rPr>
        <w:t>Bertalan</w:t>
      </w:r>
      <w:proofErr w:type="spellEnd"/>
      <w:r w:rsidRPr="007A1B5D">
        <w:rPr>
          <w:rFonts w:ascii="Calibri" w:cs="Calibri"/>
        </w:rPr>
        <w:t xml:space="preserve">, M., </w:t>
      </w:r>
      <w:proofErr w:type="spellStart"/>
      <w:r w:rsidRPr="007A1B5D">
        <w:rPr>
          <w:rFonts w:ascii="Calibri" w:cs="Calibri"/>
        </w:rPr>
        <w:t>Borruel</w:t>
      </w:r>
      <w:proofErr w:type="spellEnd"/>
      <w:r w:rsidRPr="007A1B5D">
        <w:rPr>
          <w:rFonts w:ascii="Calibri" w:cs="Calibri"/>
        </w:rPr>
        <w:t xml:space="preserve">, N., </w:t>
      </w:r>
      <w:proofErr w:type="spellStart"/>
      <w:r w:rsidRPr="007A1B5D">
        <w:rPr>
          <w:rFonts w:ascii="Calibri" w:cs="Calibri"/>
        </w:rPr>
        <w:t>Casellas</w:t>
      </w:r>
      <w:proofErr w:type="spellEnd"/>
      <w:r w:rsidRPr="007A1B5D">
        <w:rPr>
          <w:rFonts w:ascii="Calibri" w:cs="Calibri"/>
        </w:rPr>
        <w:t xml:space="preserve">, F., Fernandez, L., Gautier, L., Hansen, T., Hattori, M., Hayashi, T., … Bork, P. (2011). Enterotypes of the human gut microbiome. </w:t>
      </w:r>
      <w:r w:rsidRPr="007A1B5D">
        <w:rPr>
          <w:rFonts w:ascii="Calibri" w:cs="Calibri"/>
          <w:i/>
          <w:iCs/>
        </w:rPr>
        <w:t>Nature</w:t>
      </w:r>
      <w:r w:rsidRPr="007A1B5D">
        <w:rPr>
          <w:rFonts w:ascii="Calibri" w:cs="Calibri"/>
        </w:rPr>
        <w:t xml:space="preserve">, </w:t>
      </w:r>
      <w:r w:rsidRPr="007A1B5D">
        <w:rPr>
          <w:rFonts w:ascii="Calibri" w:cs="Calibri"/>
          <w:i/>
          <w:iCs/>
        </w:rPr>
        <w:t>473</w:t>
      </w:r>
      <w:r w:rsidRPr="007A1B5D">
        <w:rPr>
          <w:rFonts w:ascii="Calibri" w:cs="Calibri"/>
        </w:rPr>
        <w:t>(7346), 174–180. https://doi.org/10.1038/nature09944</w:t>
      </w:r>
    </w:p>
    <w:p w14:paraId="0FE6C99C" w14:textId="77777777" w:rsidR="007A1B5D" w:rsidRPr="007A1B5D" w:rsidRDefault="007A1B5D" w:rsidP="00077D4F">
      <w:pPr>
        <w:pStyle w:val="Bibliography"/>
        <w:spacing w:line="276" w:lineRule="auto"/>
        <w:rPr>
          <w:rFonts w:ascii="Calibri" w:cs="Calibri"/>
        </w:rPr>
      </w:pPr>
      <w:r w:rsidRPr="007A1B5D">
        <w:rPr>
          <w:rFonts w:ascii="Calibri" w:cs="Calibri"/>
        </w:rPr>
        <w:t xml:space="preserve">Tang, Z.-Z., Chen, G., &amp; </w:t>
      </w:r>
      <w:proofErr w:type="spellStart"/>
      <w:r w:rsidRPr="007A1B5D">
        <w:rPr>
          <w:rFonts w:ascii="Calibri" w:cs="Calibri"/>
        </w:rPr>
        <w:t>Alekseyenko</w:t>
      </w:r>
      <w:proofErr w:type="spellEnd"/>
      <w:r w:rsidRPr="007A1B5D">
        <w:rPr>
          <w:rFonts w:ascii="Calibri" w:cs="Calibri"/>
        </w:rPr>
        <w:t xml:space="preserve">, A. V. (2016). PERMANOVA-S: Association test for microbial community composition that accommodates confounders and multiple distances. </w:t>
      </w:r>
      <w:r w:rsidRPr="007A1B5D">
        <w:rPr>
          <w:rFonts w:ascii="Calibri" w:cs="Calibri"/>
          <w:i/>
          <w:iCs/>
        </w:rPr>
        <w:t>Bioinformatics</w:t>
      </w:r>
      <w:r w:rsidRPr="007A1B5D">
        <w:rPr>
          <w:rFonts w:ascii="Calibri" w:cs="Calibri"/>
        </w:rPr>
        <w:t xml:space="preserve">, </w:t>
      </w:r>
      <w:r w:rsidRPr="007A1B5D">
        <w:rPr>
          <w:rFonts w:ascii="Calibri" w:cs="Calibri"/>
          <w:i/>
          <w:iCs/>
        </w:rPr>
        <w:t>32</w:t>
      </w:r>
      <w:r w:rsidRPr="007A1B5D">
        <w:rPr>
          <w:rFonts w:ascii="Calibri" w:cs="Calibri"/>
        </w:rPr>
        <w:t>(17), 2618–2625. https://doi.org/10.1093/bioinformatics/btw311</w:t>
      </w:r>
    </w:p>
    <w:p w14:paraId="23D12DAE" w14:textId="77777777" w:rsidR="007A1B5D" w:rsidRPr="007A1B5D" w:rsidRDefault="007A1B5D" w:rsidP="00077D4F">
      <w:pPr>
        <w:pStyle w:val="Bibliography"/>
        <w:spacing w:line="276" w:lineRule="auto"/>
        <w:rPr>
          <w:rFonts w:ascii="Calibri" w:cs="Calibri"/>
        </w:rPr>
      </w:pPr>
      <w:r w:rsidRPr="007A1B5D">
        <w:rPr>
          <w:rFonts w:ascii="Calibri" w:cs="Calibri"/>
        </w:rPr>
        <w:t xml:space="preserve">Wu, G. D., Chen, J., Hoffmann, C., </w:t>
      </w:r>
      <w:proofErr w:type="spellStart"/>
      <w:r w:rsidRPr="007A1B5D">
        <w:rPr>
          <w:rFonts w:ascii="Calibri" w:cs="Calibri"/>
        </w:rPr>
        <w:t>Bittinger</w:t>
      </w:r>
      <w:proofErr w:type="spellEnd"/>
      <w:r w:rsidRPr="007A1B5D">
        <w:rPr>
          <w:rFonts w:ascii="Calibri" w:cs="Calibri"/>
        </w:rPr>
        <w:t xml:space="preserve">, K., Chen, Y.-Y., </w:t>
      </w:r>
      <w:proofErr w:type="spellStart"/>
      <w:r w:rsidRPr="007A1B5D">
        <w:rPr>
          <w:rFonts w:ascii="Calibri" w:cs="Calibri"/>
        </w:rPr>
        <w:t>Keilbaugh</w:t>
      </w:r>
      <w:proofErr w:type="spellEnd"/>
      <w:r w:rsidRPr="007A1B5D">
        <w:rPr>
          <w:rFonts w:ascii="Calibri" w:cs="Calibri"/>
        </w:rPr>
        <w:t xml:space="preserve">, S. A., </w:t>
      </w:r>
      <w:proofErr w:type="spellStart"/>
      <w:r w:rsidRPr="007A1B5D">
        <w:rPr>
          <w:rFonts w:ascii="Calibri" w:cs="Calibri"/>
        </w:rPr>
        <w:t>Bewtra</w:t>
      </w:r>
      <w:proofErr w:type="spellEnd"/>
      <w:r w:rsidRPr="007A1B5D">
        <w:rPr>
          <w:rFonts w:ascii="Calibri" w:cs="Calibri"/>
        </w:rPr>
        <w:t xml:space="preserve">, M., Knights, D., Walters, W. A., Knight, R., Sinha, R., Gilroy, E., Gupta, K., </w:t>
      </w:r>
      <w:proofErr w:type="spellStart"/>
      <w:r w:rsidRPr="007A1B5D">
        <w:rPr>
          <w:rFonts w:ascii="Calibri" w:cs="Calibri"/>
        </w:rPr>
        <w:t>Baldassano</w:t>
      </w:r>
      <w:proofErr w:type="spellEnd"/>
      <w:r w:rsidRPr="007A1B5D">
        <w:rPr>
          <w:rFonts w:ascii="Calibri" w:cs="Calibri"/>
        </w:rPr>
        <w:t xml:space="preserve">, R., </w:t>
      </w:r>
      <w:proofErr w:type="spellStart"/>
      <w:r w:rsidRPr="007A1B5D">
        <w:rPr>
          <w:rFonts w:ascii="Calibri" w:cs="Calibri"/>
        </w:rPr>
        <w:t>Nessel</w:t>
      </w:r>
      <w:proofErr w:type="spellEnd"/>
      <w:r w:rsidRPr="007A1B5D">
        <w:rPr>
          <w:rFonts w:ascii="Calibri" w:cs="Calibri"/>
        </w:rPr>
        <w:t xml:space="preserve">, L., Li, H., Bushman, F. D., &amp; Lewis, J. D. (2011). Linking long-term dietary patterns with gut </w:t>
      </w:r>
      <w:r w:rsidRPr="007A1B5D">
        <w:rPr>
          <w:rFonts w:ascii="Calibri" w:cs="Calibri"/>
        </w:rPr>
        <w:lastRenderedPageBreak/>
        <w:t xml:space="preserve">microbial enterotypes. </w:t>
      </w:r>
      <w:r w:rsidRPr="007A1B5D">
        <w:rPr>
          <w:rFonts w:ascii="Calibri" w:cs="Calibri"/>
          <w:i/>
          <w:iCs/>
        </w:rPr>
        <w:t>Science (New York, N.Y.)</w:t>
      </w:r>
      <w:r w:rsidRPr="007A1B5D">
        <w:rPr>
          <w:rFonts w:ascii="Calibri" w:cs="Calibri"/>
        </w:rPr>
        <w:t xml:space="preserve">, </w:t>
      </w:r>
      <w:r w:rsidRPr="007A1B5D">
        <w:rPr>
          <w:rFonts w:ascii="Calibri" w:cs="Calibri"/>
          <w:i/>
          <w:iCs/>
        </w:rPr>
        <w:t>334</w:t>
      </w:r>
      <w:r w:rsidRPr="007A1B5D">
        <w:rPr>
          <w:rFonts w:ascii="Calibri" w:cs="Calibri"/>
        </w:rPr>
        <w:t>(6052), 105–108. https://doi.org/10.1126/science.1208344</w:t>
      </w:r>
    </w:p>
    <w:p w14:paraId="2AD2350B" w14:textId="77777777" w:rsidR="007A1B5D" w:rsidRPr="007A1B5D" w:rsidRDefault="007A1B5D" w:rsidP="00077D4F">
      <w:pPr>
        <w:pStyle w:val="Bibliography"/>
        <w:spacing w:line="276" w:lineRule="auto"/>
        <w:rPr>
          <w:rFonts w:ascii="Calibri" w:cs="Calibri"/>
        </w:rPr>
      </w:pPr>
      <w:r w:rsidRPr="007A1B5D">
        <w:rPr>
          <w:rFonts w:ascii="Calibri" w:cs="Calibri"/>
        </w:rPr>
        <w:t xml:space="preserve">Zhang, J., Wei, Z., &amp; Chen, J. (2018). A distance-based approach for testing the mediation effect of the human microbiome. </w:t>
      </w:r>
      <w:r w:rsidRPr="007A1B5D">
        <w:rPr>
          <w:rFonts w:ascii="Calibri" w:cs="Calibri"/>
          <w:i/>
          <w:iCs/>
        </w:rPr>
        <w:t>Bioinformatics</w:t>
      </w:r>
      <w:r w:rsidRPr="007A1B5D">
        <w:rPr>
          <w:rFonts w:ascii="Calibri" w:cs="Calibri"/>
        </w:rPr>
        <w:t xml:space="preserve">, </w:t>
      </w:r>
      <w:r w:rsidRPr="007A1B5D">
        <w:rPr>
          <w:rFonts w:ascii="Calibri" w:cs="Calibri"/>
          <w:i/>
          <w:iCs/>
        </w:rPr>
        <w:t>34</w:t>
      </w:r>
      <w:r w:rsidRPr="007A1B5D">
        <w:rPr>
          <w:rFonts w:ascii="Calibri" w:cs="Calibri"/>
        </w:rPr>
        <w:t>(11), 1875–1883. https://doi.org/10.1093/bioinformatics/bty014</w:t>
      </w:r>
    </w:p>
    <w:p w14:paraId="5D49AFC0" w14:textId="77777777" w:rsidR="007A1B5D" w:rsidRPr="007A1B5D" w:rsidRDefault="007A1B5D" w:rsidP="00077D4F">
      <w:pPr>
        <w:pStyle w:val="Bibliography"/>
        <w:spacing w:line="276" w:lineRule="auto"/>
        <w:rPr>
          <w:rFonts w:ascii="Calibri" w:cs="Calibri"/>
        </w:rPr>
      </w:pPr>
      <w:r w:rsidRPr="007A1B5D">
        <w:rPr>
          <w:rFonts w:ascii="Calibri" w:cs="Calibri"/>
        </w:rPr>
        <w:t xml:space="preserve">Zhao, N., Chen, J., Carroll, I. M., </w:t>
      </w:r>
      <w:proofErr w:type="spellStart"/>
      <w:r w:rsidRPr="007A1B5D">
        <w:rPr>
          <w:rFonts w:ascii="Calibri" w:cs="Calibri"/>
        </w:rPr>
        <w:t>Ringel-Kulka</w:t>
      </w:r>
      <w:proofErr w:type="spellEnd"/>
      <w:r w:rsidRPr="007A1B5D">
        <w:rPr>
          <w:rFonts w:ascii="Calibri" w:cs="Calibri"/>
        </w:rPr>
        <w:t xml:space="preserve">, T., Epstein, M. P., Zhou, H., Zhou, J. J., </w:t>
      </w:r>
      <w:proofErr w:type="spellStart"/>
      <w:r w:rsidRPr="007A1B5D">
        <w:rPr>
          <w:rFonts w:ascii="Calibri" w:cs="Calibri"/>
        </w:rPr>
        <w:t>Ringel</w:t>
      </w:r>
      <w:proofErr w:type="spellEnd"/>
      <w:r w:rsidRPr="007A1B5D">
        <w:rPr>
          <w:rFonts w:ascii="Calibri" w:cs="Calibri"/>
        </w:rPr>
        <w:t xml:space="preserve">, Y., Li, H., &amp; Wu, M. C. (2015). Testing in Microbiome-Profiling Studies with </w:t>
      </w:r>
      <w:proofErr w:type="spellStart"/>
      <w:r w:rsidRPr="007A1B5D">
        <w:rPr>
          <w:rFonts w:ascii="Calibri" w:cs="Calibri"/>
        </w:rPr>
        <w:t>MiRKAT</w:t>
      </w:r>
      <w:proofErr w:type="spellEnd"/>
      <w:r w:rsidRPr="007A1B5D">
        <w:rPr>
          <w:rFonts w:ascii="Calibri" w:cs="Calibri"/>
        </w:rPr>
        <w:t xml:space="preserve">, the Microbiome Regression-Based Kernel Association Test. </w:t>
      </w:r>
      <w:r w:rsidRPr="007A1B5D">
        <w:rPr>
          <w:rFonts w:ascii="Calibri" w:cs="Calibri"/>
          <w:i/>
          <w:iCs/>
        </w:rPr>
        <w:t>The American Journal of Human Genetics</w:t>
      </w:r>
      <w:r w:rsidRPr="007A1B5D">
        <w:rPr>
          <w:rFonts w:ascii="Calibri" w:cs="Calibri"/>
        </w:rPr>
        <w:t xml:space="preserve">, </w:t>
      </w:r>
      <w:r w:rsidRPr="007A1B5D">
        <w:rPr>
          <w:rFonts w:ascii="Calibri" w:cs="Calibri"/>
          <w:i/>
          <w:iCs/>
        </w:rPr>
        <w:t>96</w:t>
      </w:r>
      <w:r w:rsidRPr="007A1B5D">
        <w:rPr>
          <w:rFonts w:ascii="Calibri" w:cs="Calibri"/>
        </w:rPr>
        <w:t>(5), 797–807. https://doi.org/10.1016/j.ajhg.2015.04.003</w:t>
      </w:r>
    </w:p>
    <w:p w14:paraId="6F30D94A" w14:textId="50B3EA21" w:rsidR="005706BE" w:rsidRPr="005706BE" w:rsidRDefault="0017715E" w:rsidP="00077D4F">
      <w:pPr>
        <w:pStyle w:val="Bibliography"/>
        <w:spacing w:line="276" w:lineRule="auto"/>
        <w:rPr>
          <w:rFonts w:eastAsiaTheme="minorEastAsia"/>
        </w:rPr>
      </w:pPr>
      <w:r>
        <w:rPr>
          <w:rFonts w:eastAsiaTheme="minorEastAsia"/>
        </w:rPr>
        <w:fldChar w:fldCharType="end"/>
      </w:r>
    </w:p>
    <w:p w14:paraId="456F86D0" w14:textId="77777777" w:rsidR="005706BE" w:rsidRPr="005706BE" w:rsidRDefault="005706BE" w:rsidP="00077D4F">
      <w:pPr>
        <w:pStyle w:val="Header"/>
        <w:spacing w:line="276" w:lineRule="auto"/>
        <w:jc w:val="both"/>
        <w:rPr>
          <w:rFonts w:eastAsiaTheme="minorEastAsia"/>
        </w:rPr>
      </w:pPr>
    </w:p>
    <w:p w14:paraId="1AE10C33" w14:textId="77777777" w:rsidR="005706BE" w:rsidRPr="005706BE" w:rsidRDefault="005706BE" w:rsidP="00077D4F">
      <w:pPr>
        <w:pStyle w:val="Header"/>
        <w:spacing w:line="276" w:lineRule="auto"/>
        <w:jc w:val="both"/>
        <w:rPr>
          <w:rFonts w:eastAsiaTheme="minorEastAsia"/>
        </w:rPr>
      </w:pPr>
    </w:p>
    <w:p w14:paraId="7046DC9F" w14:textId="77777777" w:rsidR="00B82E1C" w:rsidRDefault="00B82E1C" w:rsidP="00A850D2">
      <w:pPr>
        <w:spacing w:line="276" w:lineRule="auto"/>
      </w:pPr>
    </w:p>
    <w:sectPr w:rsidR="00B82E1C" w:rsidSect="00B25D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6B316" w14:textId="77777777" w:rsidR="00AC7D7E" w:rsidRDefault="00AC7D7E" w:rsidP="00932F58">
      <w:r>
        <w:separator/>
      </w:r>
    </w:p>
  </w:endnote>
  <w:endnote w:type="continuationSeparator" w:id="0">
    <w:p w14:paraId="7CF043E9" w14:textId="77777777" w:rsidR="00AC7D7E" w:rsidRDefault="00AC7D7E" w:rsidP="0093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4B177" w14:textId="77777777" w:rsidR="00AC7D7E" w:rsidRDefault="00AC7D7E" w:rsidP="00932F58">
      <w:r>
        <w:separator/>
      </w:r>
    </w:p>
  </w:footnote>
  <w:footnote w:type="continuationSeparator" w:id="0">
    <w:p w14:paraId="1CF61351" w14:textId="77777777" w:rsidR="00AC7D7E" w:rsidRDefault="00AC7D7E" w:rsidP="00932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5AB91" w14:textId="1D6CEB3D" w:rsidR="00932F58" w:rsidRDefault="00932F58">
    <w:pPr>
      <w:pStyle w:val="Header"/>
      <w:rPr>
        <w:lang w:val="en-US"/>
      </w:rPr>
    </w:pPr>
    <w:r>
      <w:rPr>
        <w:lang w:val="en-US"/>
      </w:rPr>
      <w:t>BIOSTAT 815</w:t>
    </w:r>
    <w:r>
      <w:rPr>
        <w:lang w:val="en-US"/>
      </w:rPr>
      <w:tab/>
    </w:r>
    <w:r>
      <w:rPr>
        <w:lang w:val="en-US"/>
      </w:rPr>
      <w:tab/>
      <w:t>FINAL REPORT</w:t>
    </w:r>
  </w:p>
  <w:p w14:paraId="4369070C" w14:textId="6A5E1FF3" w:rsidR="00932F58" w:rsidRPr="00932F58" w:rsidRDefault="00932F58">
    <w:pPr>
      <w:pStyle w:val="Header"/>
      <w:rPr>
        <w:lang w:val="en-US"/>
      </w:rPr>
    </w:pPr>
    <w:r>
      <w:rPr>
        <w:lang w:val="en-US"/>
      </w:rPr>
      <w:t>SOUMIK PURKAYASTHA</w:t>
    </w:r>
    <w:r>
      <w:rPr>
        <w:lang w:val="en-US"/>
      </w:rPr>
      <w:tab/>
    </w:r>
    <w:r>
      <w:rPr>
        <w:lang w:val="en-US"/>
      </w:rPr>
      <w:tab/>
      <w:t>UMID:03111532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636C3"/>
    <w:multiLevelType w:val="hybridMultilevel"/>
    <w:tmpl w:val="1A3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58"/>
    <w:rsid w:val="000032BB"/>
    <w:rsid w:val="000163AA"/>
    <w:rsid w:val="00017AE8"/>
    <w:rsid w:val="000715D3"/>
    <w:rsid w:val="00077D4F"/>
    <w:rsid w:val="000828EF"/>
    <w:rsid w:val="000A4E82"/>
    <w:rsid w:val="000D1910"/>
    <w:rsid w:val="000D3960"/>
    <w:rsid w:val="000E0BFF"/>
    <w:rsid w:val="000E429F"/>
    <w:rsid w:val="00110D78"/>
    <w:rsid w:val="00130B79"/>
    <w:rsid w:val="0017715E"/>
    <w:rsid w:val="00182B79"/>
    <w:rsid w:val="00182D9D"/>
    <w:rsid w:val="0019104F"/>
    <w:rsid w:val="001A3156"/>
    <w:rsid w:val="001B206F"/>
    <w:rsid w:val="001C2736"/>
    <w:rsid w:val="001D79D7"/>
    <w:rsid w:val="001E6ABC"/>
    <w:rsid w:val="001F407D"/>
    <w:rsid w:val="00211D16"/>
    <w:rsid w:val="00226FE2"/>
    <w:rsid w:val="0024636F"/>
    <w:rsid w:val="002672F8"/>
    <w:rsid w:val="0027695C"/>
    <w:rsid w:val="002B4B98"/>
    <w:rsid w:val="002D5919"/>
    <w:rsid w:val="003025C4"/>
    <w:rsid w:val="00327CAB"/>
    <w:rsid w:val="0033117E"/>
    <w:rsid w:val="00366D3C"/>
    <w:rsid w:val="00367119"/>
    <w:rsid w:val="00386874"/>
    <w:rsid w:val="0039084F"/>
    <w:rsid w:val="003B6F1B"/>
    <w:rsid w:val="003C277A"/>
    <w:rsid w:val="003D144A"/>
    <w:rsid w:val="003D514F"/>
    <w:rsid w:val="003E614A"/>
    <w:rsid w:val="003F5BA7"/>
    <w:rsid w:val="00443263"/>
    <w:rsid w:val="004433B6"/>
    <w:rsid w:val="00445C09"/>
    <w:rsid w:val="0046408D"/>
    <w:rsid w:val="0047760B"/>
    <w:rsid w:val="004A17DA"/>
    <w:rsid w:val="004B722C"/>
    <w:rsid w:val="004D6753"/>
    <w:rsid w:val="004E771A"/>
    <w:rsid w:val="004F0753"/>
    <w:rsid w:val="004F3E1F"/>
    <w:rsid w:val="005268AE"/>
    <w:rsid w:val="00546AC1"/>
    <w:rsid w:val="005706BE"/>
    <w:rsid w:val="00583521"/>
    <w:rsid w:val="00585619"/>
    <w:rsid w:val="005B0D08"/>
    <w:rsid w:val="005D1225"/>
    <w:rsid w:val="005D1319"/>
    <w:rsid w:val="005D4508"/>
    <w:rsid w:val="005F2964"/>
    <w:rsid w:val="005F512D"/>
    <w:rsid w:val="005F6746"/>
    <w:rsid w:val="006036A4"/>
    <w:rsid w:val="00605337"/>
    <w:rsid w:val="00605A59"/>
    <w:rsid w:val="00615409"/>
    <w:rsid w:val="00652FC7"/>
    <w:rsid w:val="006726F5"/>
    <w:rsid w:val="0068387C"/>
    <w:rsid w:val="006947F9"/>
    <w:rsid w:val="0069745E"/>
    <w:rsid w:val="006A2FE4"/>
    <w:rsid w:val="006C4D3E"/>
    <w:rsid w:val="006D62EA"/>
    <w:rsid w:val="006F2059"/>
    <w:rsid w:val="006F2E85"/>
    <w:rsid w:val="006F6868"/>
    <w:rsid w:val="007009BA"/>
    <w:rsid w:val="0071304C"/>
    <w:rsid w:val="00731699"/>
    <w:rsid w:val="00741688"/>
    <w:rsid w:val="00744E07"/>
    <w:rsid w:val="00765D69"/>
    <w:rsid w:val="00793341"/>
    <w:rsid w:val="007A079D"/>
    <w:rsid w:val="007A1B5D"/>
    <w:rsid w:val="007A24E2"/>
    <w:rsid w:val="007C6EC0"/>
    <w:rsid w:val="007D0F29"/>
    <w:rsid w:val="007D1E60"/>
    <w:rsid w:val="007E322D"/>
    <w:rsid w:val="007E34AD"/>
    <w:rsid w:val="007F1472"/>
    <w:rsid w:val="00803930"/>
    <w:rsid w:val="00814CC6"/>
    <w:rsid w:val="008237DC"/>
    <w:rsid w:val="0084141F"/>
    <w:rsid w:val="00844CF2"/>
    <w:rsid w:val="0084669F"/>
    <w:rsid w:val="00855E62"/>
    <w:rsid w:val="008B753C"/>
    <w:rsid w:val="0090717A"/>
    <w:rsid w:val="009264A9"/>
    <w:rsid w:val="00932F58"/>
    <w:rsid w:val="0094454C"/>
    <w:rsid w:val="00961BB1"/>
    <w:rsid w:val="00965FF3"/>
    <w:rsid w:val="00990ABF"/>
    <w:rsid w:val="00994E2F"/>
    <w:rsid w:val="00996B7D"/>
    <w:rsid w:val="009B28AD"/>
    <w:rsid w:val="009B5886"/>
    <w:rsid w:val="009B7256"/>
    <w:rsid w:val="009C7491"/>
    <w:rsid w:val="009D0295"/>
    <w:rsid w:val="009D3FCD"/>
    <w:rsid w:val="009F2CDE"/>
    <w:rsid w:val="009F350A"/>
    <w:rsid w:val="00A51102"/>
    <w:rsid w:val="00A55CA6"/>
    <w:rsid w:val="00A850D2"/>
    <w:rsid w:val="00AA00AF"/>
    <w:rsid w:val="00AC7D7E"/>
    <w:rsid w:val="00AD2166"/>
    <w:rsid w:val="00AD5443"/>
    <w:rsid w:val="00AE4BB8"/>
    <w:rsid w:val="00B06310"/>
    <w:rsid w:val="00B25D07"/>
    <w:rsid w:val="00B633AF"/>
    <w:rsid w:val="00B82E1C"/>
    <w:rsid w:val="00BA3C1A"/>
    <w:rsid w:val="00BC55A1"/>
    <w:rsid w:val="00BC762A"/>
    <w:rsid w:val="00C45BF5"/>
    <w:rsid w:val="00C544E7"/>
    <w:rsid w:val="00C744A3"/>
    <w:rsid w:val="00C90AE0"/>
    <w:rsid w:val="00CA00D8"/>
    <w:rsid w:val="00CD284E"/>
    <w:rsid w:val="00CF054E"/>
    <w:rsid w:val="00D10869"/>
    <w:rsid w:val="00D1257A"/>
    <w:rsid w:val="00D54453"/>
    <w:rsid w:val="00D57E41"/>
    <w:rsid w:val="00D978CA"/>
    <w:rsid w:val="00DA3D28"/>
    <w:rsid w:val="00DF310F"/>
    <w:rsid w:val="00E048A4"/>
    <w:rsid w:val="00E242D9"/>
    <w:rsid w:val="00E320C7"/>
    <w:rsid w:val="00E3748D"/>
    <w:rsid w:val="00E4409F"/>
    <w:rsid w:val="00E93508"/>
    <w:rsid w:val="00EC0E40"/>
    <w:rsid w:val="00EC6581"/>
    <w:rsid w:val="00ED3FCB"/>
    <w:rsid w:val="00EE0F9D"/>
    <w:rsid w:val="00F27AE9"/>
    <w:rsid w:val="00F56EDD"/>
    <w:rsid w:val="00F64CA7"/>
    <w:rsid w:val="00F75198"/>
    <w:rsid w:val="00F76FC7"/>
    <w:rsid w:val="00F858C8"/>
    <w:rsid w:val="00F930E0"/>
    <w:rsid w:val="00F95E45"/>
    <w:rsid w:val="00F978B5"/>
    <w:rsid w:val="00FA1D99"/>
    <w:rsid w:val="00FA79A5"/>
    <w:rsid w:val="00FB3721"/>
    <w:rsid w:val="00FD074C"/>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313D"/>
  <w15:chartTrackingRefBased/>
  <w15:docId w15:val="{3BE4B133-11C9-EB40-A905-20FB52FC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F58"/>
    <w:pPr>
      <w:tabs>
        <w:tab w:val="center" w:pos="4680"/>
        <w:tab w:val="right" w:pos="9360"/>
      </w:tabs>
    </w:pPr>
  </w:style>
  <w:style w:type="character" w:customStyle="1" w:styleId="HeaderChar">
    <w:name w:val="Header Char"/>
    <w:basedOn w:val="DefaultParagraphFont"/>
    <w:link w:val="Header"/>
    <w:uiPriority w:val="99"/>
    <w:rsid w:val="00932F58"/>
    <w:rPr>
      <w:lang w:val="en-GB"/>
    </w:rPr>
  </w:style>
  <w:style w:type="paragraph" w:styleId="Footer">
    <w:name w:val="footer"/>
    <w:basedOn w:val="Normal"/>
    <w:link w:val="FooterChar"/>
    <w:uiPriority w:val="99"/>
    <w:unhideWhenUsed/>
    <w:rsid w:val="00932F58"/>
    <w:pPr>
      <w:tabs>
        <w:tab w:val="center" w:pos="4680"/>
        <w:tab w:val="right" w:pos="9360"/>
      </w:tabs>
    </w:pPr>
  </w:style>
  <w:style w:type="character" w:customStyle="1" w:styleId="FooterChar">
    <w:name w:val="Footer Char"/>
    <w:basedOn w:val="DefaultParagraphFont"/>
    <w:link w:val="Footer"/>
    <w:uiPriority w:val="99"/>
    <w:rsid w:val="00932F58"/>
    <w:rPr>
      <w:lang w:val="en-GB"/>
    </w:rPr>
  </w:style>
  <w:style w:type="paragraph" w:styleId="EndnoteText">
    <w:name w:val="endnote text"/>
    <w:basedOn w:val="Normal"/>
    <w:link w:val="EndnoteTextChar"/>
    <w:uiPriority w:val="99"/>
    <w:semiHidden/>
    <w:unhideWhenUsed/>
    <w:rsid w:val="00932F58"/>
    <w:rPr>
      <w:sz w:val="20"/>
      <w:szCs w:val="20"/>
    </w:rPr>
  </w:style>
  <w:style w:type="character" w:customStyle="1" w:styleId="EndnoteTextChar">
    <w:name w:val="Endnote Text Char"/>
    <w:basedOn w:val="DefaultParagraphFont"/>
    <w:link w:val="EndnoteText"/>
    <w:uiPriority w:val="99"/>
    <w:semiHidden/>
    <w:rsid w:val="00932F58"/>
    <w:rPr>
      <w:sz w:val="20"/>
      <w:szCs w:val="20"/>
      <w:lang w:val="en-GB"/>
    </w:rPr>
  </w:style>
  <w:style w:type="character" w:styleId="EndnoteReference">
    <w:name w:val="endnote reference"/>
    <w:basedOn w:val="DefaultParagraphFont"/>
    <w:uiPriority w:val="99"/>
    <w:semiHidden/>
    <w:unhideWhenUsed/>
    <w:rsid w:val="00932F58"/>
    <w:rPr>
      <w:vertAlign w:val="superscript"/>
    </w:rPr>
  </w:style>
  <w:style w:type="character" w:styleId="PlaceholderText">
    <w:name w:val="Placeholder Text"/>
    <w:basedOn w:val="DefaultParagraphFont"/>
    <w:uiPriority w:val="99"/>
    <w:semiHidden/>
    <w:rsid w:val="005706BE"/>
    <w:rPr>
      <w:color w:val="808080"/>
    </w:rPr>
  </w:style>
  <w:style w:type="paragraph" w:styleId="Caption">
    <w:name w:val="caption"/>
    <w:basedOn w:val="Normal"/>
    <w:next w:val="Normal"/>
    <w:uiPriority w:val="35"/>
    <w:unhideWhenUsed/>
    <w:qFormat/>
    <w:rsid w:val="003D144A"/>
    <w:pPr>
      <w:spacing w:after="200"/>
    </w:pPr>
    <w:rPr>
      <w:i/>
      <w:iCs/>
      <w:color w:val="44546A" w:themeColor="text2"/>
      <w:sz w:val="18"/>
      <w:szCs w:val="18"/>
    </w:rPr>
  </w:style>
  <w:style w:type="paragraph" w:styleId="NormalWeb">
    <w:name w:val="Normal (Web)"/>
    <w:basedOn w:val="Normal"/>
    <w:uiPriority w:val="99"/>
    <w:semiHidden/>
    <w:unhideWhenUsed/>
    <w:rsid w:val="000D3960"/>
    <w:pPr>
      <w:spacing w:before="100" w:beforeAutospacing="1" w:after="100" w:afterAutospacing="1"/>
    </w:pPr>
    <w:rPr>
      <w:rFonts w:ascii="Times New Roman" w:eastAsia="Times New Roman" w:hAnsi="Times New Roman" w:cs="Times New Roman"/>
      <w:lang w:val="en-US"/>
    </w:rPr>
  </w:style>
  <w:style w:type="paragraph" w:styleId="Bibliography">
    <w:name w:val="Bibliography"/>
    <w:basedOn w:val="Normal"/>
    <w:next w:val="Normal"/>
    <w:uiPriority w:val="37"/>
    <w:unhideWhenUsed/>
    <w:rsid w:val="0017715E"/>
    <w:pPr>
      <w:spacing w:line="480" w:lineRule="auto"/>
      <w:ind w:left="720" w:hanging="720"/>
    </w:pPr>
  </w:style>
  <w:style w:type="table" w:styleId="TableGrid">
    <w:name w:val="Table Grid"/>
    <w:basedOn w:val="TableNormal"/>
    <w:uiPriority w:val="39"/>
    <w:rsid w:val="00694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586965">
      <w:bodyDiv w:val="1"/>
      <w:marLeft w:val="0"/>
      <w:marRight w:val="0"/>
      <w:marTop w:val="0"/>
      <w:marBottom w:val="0"/>
      <w:divBdr>
        <w:top w:val="none" w:sz="0" w:space="0" w:color="auto"/>
        <w:left w:val="none" w:sz="0" w:space="0" w:color="auto"/>
        <w:bottom w:val="none" w:sz="0" w:space="0" w:color="auto"/>
        <w:right w:val="none" w:sz="0" w:space="0" w:color="auto"/>
      </w:divBdr>
      <w:divsChild>
        <w:div w:id="1618828709">
          <w:marLeft w:val="0"/>
          <w:marRight w:val="0"/>
          <w:marTop w:val="0"/>
          <w:marBottom w:val="0"/>
          <w:divBdr>
            <w:top w:val="none" w:sz="0" w:space="0" w:color="auto"/>
            <w:left w:val="none" w:sz="0" w:space="0" w:color="auto"/>
            <w:bottom w:val="none" w:sz="0" w:space="0" w:color="auto"/>
            <w:right w:val="none" w:sz="0" w:space="0" w:color="auto"/>
          </w:divBdr>
          <w:divsChild>
            <w:div w:id="1741125900">
              <w:marLeft w:val="0"/>
              <w:marRight w:val="0"/>
              <w:marTop w:val="0"/>
              <w:marBottom w:val="0"/>
              <w:divBdr>
                <w:top w:val="none" w:sz="0" w:space="0" w:color="auto"/>
                <w:left w:val="none" w:sz="0" w:space="0" w:color="auto"/>
                <w:bottom w:val="none" w:sz="0" w:space="0" w:color="auto"/>
                <w:right w:val="none" w:sz="0" w:space="0" w:color="auto"/>
              </w:divBdr>
              <w:divsChild>
                <w:div w:id="1313945199">
                  <w:marLeft w:val="0"/>
                  <w:marRight w:val="0"/>
                  <w:marTop w:val="0"/>
                  <w:marBottom w:val="0"/>
                  <w:divBdr>
                    <w:top w:val="none" w:sz="0" w:space="0" w:color="auto"/>
                    <w:left w:val="none" w:sz="0" w:space="0" w:color="auto"/>
                    <w:bottom w:val="none" w:sz="0" w:space="0" w:color="auto"/>
                    <w:right w:val="none" w:sz="0" w:space="0" w:color="auto"/>
                  </w:divBdr>
                  <w:divsChild>
                    <w:div w:id="17900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62">
      <w:bodyDiv w:val="1"/>
      <w:marLeft w:val="0"/>
      <w:marRight w:val="0"/>
      <w:marTop w:val="0"/>
      <w:marBottom w:val="0"/>
      <w:divBdr>
        <w:top w:val="none" w:sz="0" w:space="0" w:color="auto"/>
        <w:left w:val="none" w:sz="0" w:space="0" w:color="auto"/>
        <w:bottom w:val="none" w:sz="0" w:space="0" w:color="auto"/>
        <w:right w:val="none" w:sz="0" w:space="0" w:color="auto"/>
      </w:divBdr>
      <w:divsChild>
        <w:div w:id="1913394849">
          <w:marLeft w:val="0"/>
          <w:marRight w:val="0"/>
          <w:marTop w:val="0"/>
          <w:marBottom w:val="0"/>
          <w:divBdr>
            <w:top w:val="none" w:sz="0" w:space="0" w:color="auto"/>
            <w:left w:val="none" w:sz="0" w:space="0" w:color="auto"/>
            <w:bottom w:val="none" w:sz="0" w:space="0" w:color="auto"/>
            <w:right w:val="none" w:sz="0" w:space="0" w:color="auto"/>
          </w:divBdr>
          <w:divsChild>
            <w:div w:id="328757035">
              <w:marLeft w:val="0"/>
              <w:marRight w:val="0"/>
              <w:marTop w:val="0"/>
              <w:marBottom w:val="0"/>
              <w:divBdr>
                <w:top w:val="none" w:sz="0" w:space="0" w:color="auto"/>
                <w:left w:val="none" w:sz="0" w:space="0" w:color="auto"/>
                <w:bottom w:val="none" w:sz="0" w:space="0" w:color="auto"/>
                <w:right w:val="none" w:sz="0" w:space="0" w:color="auto"/>
              </w:divBdr>
              <w:divsChild>
                <w:div w:id="1830244174">
                  <w:marLeft w:val="0"/>
                  <w:marRight w:val="0"/>
                  <w:marTop w:val="0"/>
                  <w:marBottom w:val="0"/>
                  <w:divBdr>
                    <w:top w:val="none" w:sz="0" w:space="0" w:color="auto"/>
                    <w:left w:val="none" w:sz="0" w:space="0" w:color="auto"/>
                    <w:bottom w:val="none" w:sz="0" w:space="0" w:color="auto"/>
                    <w:right w:val="none" w:sz="0" w:space="0" w:color="auto"/>
                  </w:divBdr>
                  <w:divsChild>
                    <w:div w:id="3598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5069">
      <w:bodyDiv w:val="1"/>
      <w:marLeft w:val="0"/>
      <w:marRight w:val="0"/>
      <w:marTop w:val="0"/>
      <w:marBottom w:val="0"/>
      <w:divBdr>
        <w:top w:val="none" w:sz="0" w:space="0" w:color="auto"/>
        <w:left w:val="none" w:sz="0" w:space="0" w:color="auto"/>
        <w:bottom w:val="none" w:sz="0" w:space="0" w:color="auto"/>
        <w:right w:val="none" w:sz="0" w:space="0" w:color="auto"/>
      </w:divBdr>
      <w:divsChild>
        <w:div w:id="1651860503">
          <w:marLeft w:val="0"/>
          <w:marRight w:val="0"/>
          <w:marTop w:val="0"/>
          <w:marBottom w:val="0"/>
          <w:divBdr>
            <w:top w:val="none" w:sz="0" w:space="0" w:color="auto"/>
            <w:left w:val="none" w:sz="0" w:space="0" w:color="auto"/>
            <w:bottom w:val="none" w:sz="0" w:space="0" w:color="auto"/>
            <w:right w:val="none" w:sz="0" w:space="0" w:color="auto"/>
          </w:divBdr>
          <w:divsChild>
            <w:div w:id="1797870020">
              <w:marLeft w:val="0"/>
              <w:marRight w:val="0"/>
              <w:marTop w:val="0"/>
              <w:marBottom w:val="0"/>
              <w:divBdr>
                <w:top w:val="none" w:sz="0" w:space="0" w:color="auto"/>
                <w:left w:val="none" w:sz="0" w:space="0" w:color="auto"/>
                <w:bottom w:val="none" w:sz="0" w:space="0" w:color="auto"/>
                <w:right w:val="none" w:sz="0" w:space="0" w:color="auto"/>
              </w:divBdr>
              <w:divsChild>
                <w:div w:id="747844784">
                  <w:marLeft w:val="0"/>
                  <w:marRight w:val="0"/>
                  <w:marTop w:val="0"/>
                  <w:marBottom w:val="0"/>
                  <w:divBdr>
                    <w:top w:val="none" w:sz="0" w:space="0" w:color="auto"/>
                    <w:left w:val="none" w:sz="0" w:space="0" w:color="auto"/>
                    <w:bottom w:val="none" w:sz="0" w:space="0" w:color="auto"/>
                    <w:right w:val="none" w:sz="0" w:space="0" w:color="auto"/>
                  </w:divBdr>
                  <w:divsChild>
                    <w:div w:id="2101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78539">
      <w:bodyDiv w:val="1"/>
      <w:marLeft w:val="0"/>
      <w:marRight w:val="0"/>
      <w:marTop w:val="0"/>
      <w:marBottom w:val="0"/>
      <w:divBdr>
        <w:top w:val="none" w:sz="0" w:space="0" w:color="auto"/>
        <w:left w:val="none" w:sz="0" w:space="0" w:color="auto"/>
        <w:bottom w:val="none" w:sz="0" w:space="0" w:color="auto"/>
        <w:right w:val="none" w:sz="0" w:space="0" w:color="auto"/>
      </w:divBdr>
      <w:divsChild>
        <w:div w:id="437019421">
          <w:marLeft w:val="0"/>
          <w:marRight w:val="0"/>
          <w:marTop w:val="0"/>
          <w:marBottom w:val="0"/>
          <w:divBdr>
            <w:top w:val="none" w:sz="0" w:space="0" w:color="auto"/>
            <w:left w:val="none" w:sz="0" w:space="0" w:color="auto"/>
            <w:bottom w:val="none" w:sz="0" w:space="0" w:color="auto"/>
            <w:right w:val="none" w:sz="0" w:space="0" w:color="auto"/>
          </w:divBdr>
          <w:divsChild>
            <w:div w:id="2024701231">
              <w:marLeft w:val="0"/>
              <w:marRight w:val="0"/>
              <w:marTop w:val="0"/>
              <w:marBottom w:val="0"/>
              <w:divBdr>
                <w:top w:val="none" w:sz="0" w:space="0" w:color="auto"/>
                <w:left w:val="none" w:sz="0" w:space="0" w:color="auto"/>
                <w:bottom w:val="none" w:sz="0" w:space="0" w:color="auto"/>
                <w:right w:val="none" w:sz="0" w:space="0" w:color="auto"/>
              </w:divBdr>
              <w:divsChild>
                <w:div w:id="451481431">
                  <w:marLeft w:val="0"/>
                  <w:marRight w:val="0"/>
                  <w:marTop w:val="0"/>
                  <w:marBottom w:val="0"/>
                  <w:divBdr>
                    <w:top w:val="none" w:sz="0" w:space="0" w:color="auto"/>
                    <w:left w:val="none" w:sz="0" w:space="0" w:color="auto"/>
                    <w:bottom w:val="none" w:sz="0" w:space="0" w:color="auto"/>
                    <w:right w:val="none" w:sz="0" w:space="0" w:color="auto"/>
                  </w:divBdr>
                  <w:divsChild>
                    <w:div w:id="1885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0111">
      <w:bodyDiv w:val="1"/>
      <w:marLeft w:val="0"/>
      <w:marRight w:val="0"/>
      <w:marTop w:val="0"/>
      <w:marBottom w:val="0"/>
      <w:divBdr>
        <w:top w:val="none" w:sz="0" w:space="0" w:color="auto"/>
        <w:left w:val="none" w:sz="0" w:space="0" w:color="auto"/>
        <w:bottom w:val="none" w:sz="0" w:space="0" w:color="auto"/>
        <w:right w:val="none" w:sz="0" w:space="0" w:color="auto"/>
      </w:divBdr>
      <w:divsChild>
        <w:div w:id="545067753">
          <w:marLeft w:val="0"/>
          <w:marRight w:val="0"/>
          <w:marTop w:val="0"/>
          <w:marBottom w:val="0"/>
          <w:divBdr>
            <w:top w:val="none" w:sz="0" w:space="0" w:color="auto"/>
            <w:left w:val="none" w:sz="0" w:space="0" w:color="auto"/>
            <w:bottom w:val="none" w:sz="0" w:space="0" w:color="auto"/>
            <w:right w:val="none" w:sz="0" w:space="0" w:color="auto"/>
          </w:divBdr>
          <w:divsChild>
            <w:div w:id="1720397097">
              <w:marLeft w:val="0"/>
              <w:marRight w:val="0"/>
              <w:marTop w:val="0"/>
              <w:marBottom w:val="0"/>
              <w:divBdr>
                <w:top w:val="none" w:sz="0" w:space="0" w:color="auto"/>
                <w:left w:val="none" w:sz="0" w:space="0" w:color="auto"/>
                <w:bottom w:val="none" w:sz="0" w:space="0" w:color="auto"/>
                <w:right w:val="none" w:sz="0" w:space="0" w:color="auto"/>
              </w:divBdr>
              <w:divsChild>
                <w:div w:id="355739220">
                  <w:marLeft w:val="0"/>
                  <w:marRight w:val="0"/>
                  <w:marTop w:val="0"/>
                  <w:marBottom w:val="0"/>
                  <w:divBdr>
                    <w:top w:val="none" w:sz="0" w:space="0" w:color="auto"/>
                    <w:left w:val="none" w:sz="0" w:space="0" w:color="auto"/>
                    <w:bottom w:val="none" w:sz="0" w:space="0" w:color="auto"/>
                    <w:right w:val="none" w:sz="0" w:space="0" w:color="auto"/>
                  </w:divBdr>
                  <w:divsChild>
                    <w:div w:id="4679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6216</Words>
  <Characters>35436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Purkayastha</dc:creator>
  <cp:keywords/>
  <dc:description/>
  <cp:lastModifiedBy>Purkayastha, Soumik</cp:lastModifiedBy>
  <cp:revision>30</cp:revision>
  <dcterms:created xsi:type="dcterms:W3CDTF">2021-04-22T16:57:00Z</dcterms:created>
  <dcterms:modified xsi:type="dcterms:W3CDTF">2021-04-26T18:56:00Z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id="Gr4OnlJq"/&gt;&lt;style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