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5BF" w:rsidRPr="00690DCA" w:rsidRDefault="002A25BF" w:rsidP="002A25BF">
      <w:pPr>
        <w:widowControl w:val="0"/>
        <w:pBdr>
          <w:top w:val="nil"/>
          <w:left w:val="nil"/>
          <w:bottom w:val="nil"/>
          <w:right w:val="nil"/>
          <w:between w:val="nil"/>
        </w:pBdr>
        <w:jc w:val="center"/>
        <w:rPr>
          <w:i/>
          <w:iCs/>
          <w:sz w:val="18"/>
          <w:szCs w:val="18"/>
        </w:rPr>
      </w:pPr>
      <w:r w:rsidRPr="00DE064E">
        <w:rPr>
          <w:b/>
          <w:bCs/>
          <w:i/>
          <w:iCs/>
          <w:sz w:val="18"/>
          <w:szCs w:val="18"/>
        </w:rPr>
        <w:t>Supplementary Table S1:</w:t>
      </w:r>
      <w:r w:rsidRPr="00690DCA">
        <w:rPr>
          <w:i/>
          <w:iCs/>
          <w:sz w:val="18"/>
          <w:szCs w:val="18"/>
        </w:rPr>
        <w:t xml:space="preserve"> </w:t>
      </w:r>
      <w:r w:rsidRPr="00690DCA">
        <w:rPr>
          <w:i/>
          <w:iCs/>
          <w:color w:val="000000" w:themeColor="text1"/>
          <w:sz w:val="18"/>
          <w:szCs w:val="18"/>
        </w:rPr>
        <w:t>Summary of initial values and parameter settings for application of the SEIR-</w:t>
      </w:r>
      <w:proofErr w:type="spellStart"/>
      <w:r w:rsidRPr="00690DCA">
        <w:rPr>
          <w:i/>
          <w:iCs/>
          <w:color w:val="000000" w:themeColor="text1"/>
          <w:sz w:val="18"/>
          <w:szCs w:val="18"/>
        </w:rPr>
        <w:t>fansy</w:t>
      </w:r>
      <w:proofErr w:type="spellEnd"/>
      <w:r w:rsidRPr="00690DCA">
        <w:rPr>
          <w:i/>
          <w:iCs/>
          <w:color w:val="000000" w:themeColor="text1"/>
          <w:sz w:val="18"/>
          <w:szCs w:val="18"/>
        </w:rPr>
        <w:t xml:space="preserve"> model in the context of COVID-19 data from India.</w:t>
      </w:r>
      <w:r>
        <w:rPr>
          <w:i/>
          <w:iCs/>
          <w:color w:val="000000" w:themeColor="text1"/>
          <w:sz w:val="18"/>
          <w:szCs w:val="18"/>
        </w:rPr>
        <w:t xml:space="preserve"> Unless mentioned otherwise, we use these parameter settings for all other models when applicable.</w:t>
      </w:r>
    </w:p>
    <w:tbl>
      <w:tblPr>
        <w:tblStyle w:val="PlainTable11"/>
        <w:tblW w:w="5000" w:type="pct"/>
        <w:tblLook w:val="04A0" w:firstRow="1" w:lastRow="0" w:firstColumn="1" w:lastColumn="0" w:noHBand="0" w:noVBand="1"/>
      </w:tblPr>
      <w:tblGrid>
        <w:gridCol w:w="2024"/>
        <w:gridCol w:w="3466"/>
        <w:gridCol w:w="7739"/>
      </w:tblGrid>
      <w:tr w:rsidR="002A25BF" w:rsidRPr="009D2AAD" w:rsidTr="0069468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65" w:type="pct"/>
            <w:vAlign w:val="center"/>
          </w:tcPr>
          <w:p w:rsidR="002A25BF" w:rsidRPr="009D2AAD" w:rsidRDefault="002A25BF" w:rsidP="0069468E">
            <w:pPr>
              <w:widowControl w:val="0"/>
              <w:jc w:val="center"/>
              <w:rPr>
                <w:bCs w:val="0"/>
                <w:color w:val="000000" w:themeColor="text1"/>
                <w:sz w:val="18"/>
                <w:szCs w:val="18"/>
              </w:rPr>
            </w:pPr>
            <w:r w:rsidRPr="009D2AAD">
              <w:rPr>
                <w:bCs w:val="0"/>
                <w:color w:val="000000" w:themeColor="text1"/>
                <w:sz w:val="18"/>
                <w:szCs w:val="18"/>
              </w:rPr>
              <w:t>Parameters</w:t>
            </w:r>
          </w:p>
        </w:tc>
        <w:tc>
          <w:tcPr>
            <w:tcW w:w="1310" w:type="pct"/>
            <w:vAlign w:val="center"/>
          </w:tcPr>
          <w:p w:rsidR="002A25BF" w:rsidRPr="009D2AAD" w:rsidRDefault="002A25BF" w:rsidP="0069468E">
            <w:pPr>
              <w:widowControl w:val="0"/>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18"/>
                <w:szCs w:val="18"/>
              </w:rPr>
            </w:pPr>
            <w:r w:rsidRPr="009D2AAD">
              <w:rPr>
                <w:bCs w:val="0"/>
                <w:color w:val="000000" w:themeColor="text1"/>
                <w:sz w:val="18"/>
                <w:szCs w:val="18"/>
              </w:rPr>
              <w:t>Settings</w:t>
            </w:r>
          </w:p>
        </w:tc>
        <w:tc>
          <w:tcPr>
            <w:tcW w:w="2925" w:type="pct"/>
            <w:vAlign w:val="center"/>
          </w:tcPr>
          <w:p w:rsidR="002A25BF" w:rsidRPr="009D2AAD" w:rsidRDefault="002A25BF" w:rsidP="0069468E">
            <w:pPr>
              <w:widowControl w:val="0"/>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18"/>
                <w:szCs w:val="18"/>
              </w:rPr>
            </w:pPr>
            <w:r w:rsidRPr="009D2AAD">
              <w:rPr>
                <w:bCs w:val="0"/>
                <w:color w:val="000000" w:themeColor="text1"/>
                <w:sz w:val="18"/>
                <w:szCs w:val="18"/>
              </w:rPr>
              <w:t>Description</w:t>
            </w:r>
          </w:p>
        </w:tc>
      </w:tr>
      <w:tr w:rsidR="002A25BF" w:rsidRPr="009D2AAD" w:rsidTr="0069468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65" w:type="pct"/>
            <w:vAlign w:val="center"/>
          </w:tcPr>
          <w:p w:rsidR="002A25BF" w:rsidRPr="009D2AAD" w:rsidRDefault="002A25BF" w:rsidP="0069468E">
            <w:pPr>
              <w:widowControl w:val="0"/>
              <w:rPr>
                <w:b w:val="0"/>
                <w:bCs w:val="0"/>
                <w:i/>
                <w:iCs/>
                <w:color w:val="000000" w:themeColor="text1"/>
                <w:sz w:val="18"/>
                <w:szCs w:val="18"/>
              </w:rPr>
            </w:pPr>
            <m:oMathPara>
              <m:oMath>
                <m:r>
                  <m:rPr>
                    <m:sty m:val="bi"/>
                  </m:rPr>
                  <w:rPr>
                    <w:rFonts w:ascii="Cambria Math" w:hAnsi="Cambria Math"/>
                    <w:color w:val="000000" w:themeColor="text1"/>
                    <w:sz w:val="18"/>
                    <w:szCs w:val="18"/>
                  </w:rPr>
                  <m:t>β</m:t>
                </m:r>
              </m:oMath>
            </m:oMathPara>
          </w:p>
        </w:tc>
        <w:tc>
          <w:tcPr>
            <w:tcW w:w="1310" w:type="pct"/>
            <w:vAlign w:val="center"/>
          </w:tcPr>
          <w:p w:rsidR="002A25BF" w:rsidRPr="009D2AAD" w:rsidRDefault="002A25BF" w:rsidP="0069468E">
            <w:pPr>
              <w:widowControl w:val="0"/>
              <w:jc w:val="center"/>
              <w:cnfStyle w:val="000000100000" w:firstRow="0" w:lastRow="0" w:firstColumn="0" w:lastColumn="0" w:oddVBand="0" w:evenVBand="0" w:oddHBand="1" w:evenHBand="0" w:firstRowFirstColumn="0" w:firstRowLastColumn="0" w:lastRowFirstColumn="0" w:lastRowLastColumn="0"/>
              <w:rPr>
                <w:bCs/>
                <w:color w:val="000000" w:themeColor="text1"/>
                <w:sz w:val="18"/>
                <w:szCs w:val="18"/>
              </w:rPr>
            </w:pPr>
            <w:r w:rsidRPr="009D2AAD">
              <w:rPr>
                <w:bCs/>
                <w:color w:val="000000" w:themeColor="text1"/>
                <w:sz w:val="18"/>
                <w:szCs w:val="18"/>
              </w:rPr>
              <w:t>Time-varying</w:t>
            </w:r>
          </w:p>
        </w:tc>
        <w:tc>
          <w:tcPr>
            <w:tcW w:w="2925" w:type="pct"/>
            <w:vAlign w:val="center"/>
          </w:tcPr>
          <w:p w:rsidR="002A25BF" w:rsidRPr="009D2AAD" w:rsidRDefault="002A25BF" w:rsidP="0069468E">
            <w:pPr>
              <w:widowControl w:val="0"/>
              <w:jc w:val="both"/>
              <w:cnfStyle w:val="000000100000" w:firstRow="0" w:lastRow="0" w:firstColumn="0" w:lastColumn="0" w:oddVBand="0" w:evenVBand="0" w:oddHBand="1" w:evenHBand="0" w:firstRowFirstColumn="0" w:firstRowLastColumn="0" w:lastRowFirstColumn="0" w:lastRowLastColumn="0"/>
              <w:rPr>
                <w:bCs/>
                <w:color w:val="000000" w:themeColor="text1"/>
                <w:sz w:val="18"/>
                <w:szCs w:val="18"/>
              </w:rPr>
            </w:pPr>
            <w:r w:rsidRPr="009D2AAD">
              <w:rPr>
                <w:bCs/>
                <w:color w:val="000000" w:themeColor="text1"/>
                <w:sz w:val="18"/>
                <w:szCs w:val="18"/>
              </w:rPr>
              <w:t xml:space="preserve">Rate of infectious transmission by infected individuals with false negative test results. </w:t>
            </w:r>
          </w:p>
        </w:tc>
      </w:tr>
      <w:tr w:rsidR="002A25BF" w:rsidRPr="009D2AAD" w:rsidTr="0069468E">
        <w:trPr>
          <w:trHeight w:val="432"/>
        </w:trPr>
        <w:tc>
          <w:tcPr>
            <w:cnfStyle w:val="001000000000" w:firstRow="0" w:lastRow="0" w:firstColumn="1" w:lastColumn="0" w:oddVBand="0" w:evenVBand="0" w:oddHBand="0" w:evenHBand="0" w:firstRowFirstColumn="0" w:firstRowLastColumn="0" w:lastRowFirstColumn="0" w:lastRowLastColumn="0"/>
            <w:tcW w:w="765" w:type="pct"/>
            <w:vAlign w:val="center"/>
          </w:tcPr>
          <w:p w:rsidR="002A25BF" w:rsidRPr="009D2AAD" w:rsidRDefault="002A25BF" w:rsidP="0069468E">
            <w:pPr>
              <w:widowControl w:val="0"/>
              <w:jc w:val="center"/>
              <w:rPr>
                <w:b w:val="0"/>
                <w:bCs w:val="0"/>
                <w:i/>
                <w:iCs/>
                <w:color w:val="000000" w:themeColor="text1"/>
                <w:sz w:val="18"/>
                <w:szCs w:val="18"/>
              </w:rPr>
            </w:pPr>
            <m:oMathPara>
              <m:oMath>
                <m:sSub>
                  <m:sSubPr>
                    <m:ctrlPr>
                      <w:rPr>
                        <w:rFonts w:ascii="Cambria Math" w:hAnsi="Cambria Math"/>
                        <w:b w:val="0"/>
                        <w:bCs w:val="0"/>
                        <w:i/>
                        <w:iCs/>
                        <w:color w:val="000000" w:themeColor="text1"/>
                        <w:sz w:val="18"/>
                        <w:szCs w:val="18"/>
                      </w:rPr>
                    </m:ctrlPr>
                  </m:sSubPr>
                  <m:e>
                    <m:r>
                      <m:rPr>
                        <m:sty m:val="bi"/>
                      </m:rPr>
                      <w:rPr>
                        <w:rFonts w:ascii="Cambria Math" w:hAnsi="Cambria Math"/>
                        <w:color w:val="000000" w:themeColor="text1"/>
                        <w:sz w:val="18"/>
                        <w:szCs w:val="18"/>
                      </w:rPr>
                      <m:t>α</m:t>
                    </m:r>
                  </m:e>
                  <m:sub>
                    <m:r>
                      <m:rPr>
                        <m:sty m:val="bi"/>
                      </m:rPr>
                      <w:rPr>
                        <w:rFonts w:ascii="Cambria Math" w:hAnsi="Cambria Math"/>
                        <w:color w:val="000000" w:themeColor="text1"/>
                        <w:sz w:val="18"/>
                        <w:szCs w:val="18"/>
                      </w:rPr>
                      <m:t>P</m:t>
                    </m:r>
                  </m:sub>
                </m:sSub>
              </m:oMath>
            </m:oMathPara>
          </w:p>
        </w:tc>
        <w:tc>
          <w:tcPr>
            <w:tcW w:w="1310" w:type="pct"/>
            <w:shd w:val="clear" w:color="auto" w:fill="auto"/>
            <w:vAlign w:val="center"/>
          </w:tcPr>
          <w:p w:rsidR="002A25BF" w:rsidRPr="009D2AAD" w:rsidRDefault="002A25BF" w:rsidP="0069468E">
            <w:pPr>
              <w:widowControl w:val="0"/>
              <w:jc w:val="center"/>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w:r w:rsidRPr="009D2AAD">
              <w:rPr>
                <w:bCs/>
                <w:color w:val="000000" w:themeColor="text1"/>
                <w:sz w:val="18"/>
                <w:szCs w:val="18"/>
              </w:rPr>
              <w:t>0.5</w:t>
            </w:r>
          </w:p>
        </w:tc>
        <w:tc>
          <w:tcPr>
            <w:tcW w:w="2925" w:type="pct"/>
            <w:vAlign w:val="center"/>
          </w:tcPr>
          <w:p w:rsidR="002A25BF" w:rsidRPr="009D2AAD" w:rsidRDefault="002A25BF" w:rsidP="0069468E">
            <w:pPr>
              <w:widowControl w:val="0"/>
              <w:jc w:val="both"/>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w:r w:rsidRPr="009D2AAD">
              <w:rPr>
                <w:bCs/>
                <w:color w:val="000000" w:themeColor="text1"/>
                <w:sz w:val="18"/>
                <w:szCs w:val="18"/>
              </w:rPr>
              <w:t xml:space="preserve">Ratio of rate of spread of infection by patients who test positive, to rate of spread of infection by patients who get false negative </w:t>
            </w:r>
            <w:proofErr w:type="spellStart"/>
            <w:r w:rsidRPr="009D2AAD">
              <w:rPr>
                <w:bCs/>
                <w:color w:val="000000" w:themeColor="text1"/>
                <w:sz w:val="18"/>
                <w:szCs w:val="18"/>
              </w:rPr>
              <w:t>results</w:t>
            </w:r>
            <w:r w:rsidRPr="009D2AAD">
              <w:rPr>
                <w:bCs/>
                <w:color w:val="000000" w:themeColor="text1"/>
                <w:sz w:val="18"/>
                <w:szCs w:val="18"/>
                <w:vertAlign w:val="superscript"/>
              </w:rPr>
              <w:t>a</w:t>
            </w:r>
            <w:proofErr w:type="spellEnd"/>
            <w:r w:rsidRPr="009D2AAD">
              <w:rPr>
                <w:bCs/>
                <w:color w:val="000000" w:themeColor="text1"/>
                <w:sz w:val="18"/>
                <w:szCs w:val="18"/>
              </w:rPr>
              <w:t>.</w:t>
            </w:r>
          </w:p>
        </w:tc>
      </w:tr>
      <w:tr w:rsidR="002A25BF" w:rsidRPr="009D2AAD" w:rsidTr="0069468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65" w:type="pct"/>
            <w:vAlign w:val="center"/>
          </w:tcPr>
          <w:p w:rsidR="002A25BF" w:rsidRPr="009D2AAD" w:rsidRDefault="002A25BF" w:rsidP="0069468E">
            <w:pPr>
              <w:widowControl w:val="0"/>
              <w:jc w:val="center"/>
              <w:rPr>
                <w:b w:val="0"/>
                <w:bCs w:val="0"/>
                <w:i/>
                <w:iCs/>
                <w:color w:val="000000" w:themeColor="text1"/>
                <w:sz w:val="18"/>
                <w:szCs w:val="18"/>
              </w:rPr>
            </w:pPr>
            <m:oMathPara>
              <m:oMath>
                <m:sSub>
                  <m:sSubPr>
                    <m:ctrlPr>
                      <w:rPr>
                        <w:rFonts w:ascii="Cambria Math" w:hAnsi="Cambria Math"/>
                        <w:b w:val="0"/>
                        <w:bCs w:val="0"/>
                        <w:i/>
                        <w:iCs/>
                        <w:color w:val="000000" w:themeColor="text1"/>
                        <w:sz w:val="18"/>
                        <w:szCs w:val="18"/>
                      </w:rPr>
                    </m:ctrlPr>
                  </m:sSubPr>
                  <m:e>
                    <m:r>
                      <m:rPr>
                        <m:sty m:val="bi"/>
                      </m:rPr>
                      <w:rPr>
                        <w:rFonts w:ascii="Cambria Math" w:hAnsi="Cambria Math"/>
                        <w:color w:val="000000" w:themeColor="text1"/>
                        <w:sz w:val="18"/>
                        <w:szCs w:val="18"/>
                      </w:rPr>
                      <m:t>α</m:t>
                    </m:r>
                  </m:e>
                  <m:sub>
                    <m:r>
                      <m:rPr>
                        <m:sty m:val="bi"/>
                      </m:rPr>
                      <w:rPr>
                        <w:rFonts w:ascii="Cambria Math" w:hAnsi="Cambria Math"/>
                        <w:color w:val="000000" w:themeColor="text1"/>
                        <w:sz w:val="18"/>
                        <w:szCs w:val="18"/>
                      </w:rPr>
                      <m:t>U</m:t>
                    </m:r>
                  </m:sub>
                </m:sSub>
              </m:oMath>
            </m:oMathPara>
          </w:p>
        </w:tc>
        <w:tc>
          <w:tcPr>
            <w:tcW w:w="1310" w:type="pct"/>
            <w:vAlign w:val="center"/>
          </w:tcPr>
          <w:p w:rsidR="002A25BF" w:rsidRPr="009D2AAD" w:rsidRDefault="002A25BF" w:rsidP="0069468E">
            <w:pPr>
              <w:widowControl w:val="0"/>
              <w:jc w:val="center"/>
              <w:cnfStyle w:val="000000100000" w:firstRow="0" w:lastRow="0" w:firstColumn="0" w:lastColumn="0" w:oddVBand="0" w:evenVBand="0" w:oddHBand="1" w:evenHBand="0" w:firstRowFirstColumn="0" w:firstRowLastColumn="0" w:lastRowFirstColumn="0" w:lastRowLastColumn="0"/>
              <w:rPr>
                <w:bCs/>
                <w:color w:val="000000" w:themeColor="text1"/>
                <w:sz w:val="18"/>
                <w:szCs w:val="18"/>
              </w:rPr>
            </w:pPr>
            <w:r w:rsidRPr="009D2AAD">
              <w:rPr>
                <w:bCs/>
                <w:color w:val="000000" w:themeColor="text1"/>
                <w:sz w:val="18"/>
                <w:szCs w:val="18"/>
              </w:rPr>
              <w:t>0.7</w:t>
            </w:r>
          </w:p>
        </w:tc>
        <w:tc>
          <w:tcPr>
            <w:tcW w:w="2925" w:type="pct"/>
            <w:vAlign w:val="center"/>
          </w:tcPr>
          <w:p w:rsidR="002A25BF" w:rsidRPr="009D2AAD" w:rsidRDefault="002A25BF" w:rsidP="0069468E">
            <w:pPr>
              <w:widowControl w:val="0"/>
              <w:jc w:val="both"/>
              <w:cnfStyle w:val="000000100000" w:firstRow="0" w:lastRow="0" w:firstColumn="0" w:lastColumn="0" w:oddVBand="0" w:evenVBand="0" w:oddHBand="1" w:evenHBand="0" w:firstRowFirstColumn="0" w:firstRowLastColumn="0" w:lastRowFirstColumn="0" w:lastRowLastColumn="0"/>
              <w:rPr>
                <w:bCs/>
                <w:color w:val="000000" w:themeColor="text1"/>
                <w:sz w:val="18"/>
                <w:szCs w:val="18"/>
              </w:rPr>
            </w:pPr>
            <w:r w:rsidRPr="009D2AAD">
              <w:rPr>
                <w:bCs/>
                <w:color w:val="000000" w:themeColor="text1"/>
                <w:sz w:val="18"/>
                <w:szCs w:val="18"/>
              </w:rPr>
              <w:t xml:space="preserve">Scaling factor for the rate of spread of infection by untested </w:t>
            </w:r>
            <w:proofErr w:type="spellStart"/>
            <w:r w:rsidRPr="009D2AAD">
              <w:rPr>
                <w:bCs/>
                <w:color w:val="000000" w:themeColor="text1"/>
                <w:sz w:val="18"/>
                <w:szCs w:val="18"/>
              </w:rPr>
              <w:t>individuals</w:t>
            </w:r>
            <w:r w:rsidRPr="009450D8">
              <w:rPr>
                <w:bCs/>
                <w:color w:val="000000" w:themeColor="text1"/>
                <w:sz w:val="18"/>
                <w:szCs w:val="18"/>
                <w:vertAlign w:val="superscript"/>
              </w:rPr>
              <w:t>a</w:t>
            </w:r>
            <w:proofErr w:type="spellEnd"/>
            <w:r w:rsidRPr="009D2AAD">
              <w:rPr>
                <w:bCs/>
                <w:color w:val="000000" w:themeColor="text1"/>
                <w:sz w:val="18"/>
                <w:szCs w:val="18"/>
              </w:rPr>
              <w:t>.</w:t>
            </w:r>
          </w:p>
        </w:tc>
      </w:tr>
      <w:tr w:rsidR="002A25BF" w:rsidRPr="009D2AAD" w:rsidTr="0069468E">
        <w:trPr>
          <w:trHeight w:val="432"/>
        </w:trPr>
        <w:tc>
          <w:tcPr>
            <w:cnfStyle w:val="001000000000" w:firstRow="0" w:lastRow="0" w:firstColumn="1" w:lastColumn="0" w:oddVBand="0" w:evenVBand="0" w:oddHBand="0" w:evenHBand="0" w:firstRowFirstColumn="0" w:firstRowLastColumn="0" w:lastRowFirstColumn="0" w:lastRowLastColumn="0"/>
            <w:tcW w:w="765" w:type="pct"/>
            <w:vAlign w:val="center"/>
          </w:tcPr>
          <w:p w:rsidR="002A25BF" w:rsidRPr="009D2AAD" w:rsidRDefault="002A25BF" w:rsidP="0069468E">
            <w:pPr>
              <w:widowControl w:val="0"/>
              <w:rPr>
                <w:b w:val="0"/>
                <w:bCs w:val="0"/>
                <w:i/>
                <w:iCs/>
                <w:color w:val="000000" w:themeColor="text1"/>
                <w:sz w:val="18"/>
                <w:szCs w:val="18"/>
              </w:rPr>
            </w:pPr>
            <m:oMathPara>
              <m:oMath>
                <m:sSub>
                  <m:sSubPr>
                    <m:ctrlPr>
                      <w:rPr>
                        <w:rFonts w:ascii="Cambria Math" w:hAnsi="Cambria Math"/>
                        <w:b w:val="0"/>
                        <w:bCs w:val="0"/>
                        <w:i/>
                        <w:iCs/>
                        <w:color w:val="000000" w:themeColor="text1"/>
                        <w:sz w:val="18"/>
                        <w:szCs w:val="18"/>
                      </w:rPr>
                    </m:ctrlPr>
                  </m:sSubPr>
                  <m:e>
                    <m:r>
                      <m:rPr>
                        <m:sty m:val="bi"/>
                      </m:rPr>
                      <w:rPr>
                        <w:rFonts w:ascii="Cambria Math" w:hAnsi="Cambria Math"/>
                        <w:color w:val="000000" w:themeColor="text1"/>
                        <w:sz w:val="18"/>
                        <w:szCs w:val="18"/>
                      </w:rPr>
                      <m:t>D</m:t>
                    </m:r>
                  </m:e>
                  <m:sub>
                    <m:r>
                      <m:rPr>
                        <m:sty m:val="bi"/>
                      </m:rPr>
                      <w:rPr>
                        <w:rFonts w:ascii="Cambria Math" w:hAnsi="Cambria Math"/>
                        <w:color w:val="000000" w:themeColor="text1"/>
                        <w:sz w:val="18"/>
                        <w:szCs w:val="18"/>
                      </w:rPr>
                      <m:t>e</m:t>
                    </m:r>
                  </m:sub>
                </m:sSub>
              </m:oMath>
            </m:oMathPara>
          </w:p>
        </w:tc>
        <w:tc>
          <w:tcPr>
            <w:tcW w:w="1310" w:type="pct"/>
            <w:shd w:val="clear" w:color="auto" w:fill="auto"/>
            <w:vAlign w:val="center"/>
          </w:tcPr>
          <w:p w:rsidR="002A25BF" w:rsidRPr="009D2AAD" w:rsidRDefault="002A25BF" w:rsidP="0069468E">
            <w:pPr>
              <w:widowControl w:val="0"/>
              <w:jc w:val="center"/>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w:r w:rsidRPr="009D2AAD">
              <w:rPr>
                <w:bCs/>
                <w:color w:val="000000" w:themeColor="text1"/>
                <w:sz w:val="18"/>
                <w:szCs w:val="18"/>
              </w:rPr>
              <w:t>5.</w:t>
            </w:r>
            <w:r>
              <w:rPr>
                <w:bCs/>
                <w:color w:val="000000" w:themeColor="text1"/>
                <w:sz w:val="18"/>
                <w:szCs w:val="18"/>
              </w:rPr>
              <w:t>2</w:t>
            </w:r>
          </w:p>
        </w:tc>
        <w:tc>
          <w:tcPr>
            <w:tcW w:w="2925" w:type="pct"/>
            <w:vAlign w:val="center"/>
          </w:tcPr>
          <w:p w:rsidR="002A25BF" w:rsidRPr="009D2AAD" w:rsidRDefault="002A25BF" w:rsidP="0069468E">
            <w:pPr>
              <w:widowControl w:val="0"/>
              <w:jc w:val="both"/>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w:r w:rsidRPr="009D2AAD">
              <w:rPr>
                <w:bCs/>
                <w:color w:val="000000" w:themeColor="text1"/>
                <w:sz w:val="18"/>
                <w:szCs w:val="18"/>
              </w:rPr>
              <w:t>Incubation period (in days).</w:t>
            </w:r>
          </w:p>
        </w:tc>
      </w:tr>
      <w:tr w:rsidR="002A25BF" w:rsidRPr="009D2AAD" w:rsidTr="0069468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65" w:type="pct"/>
            <w:vAlign w:val="center"/>
          </w:tcPr>
          <w:p w:rsidR="002A25BF" w:rsidRPr="009D2AAD" w:rsidRDefault="002A25BF" w:rsidP="0069468E">
            <w:pPr>
              <w:widowControl w:val="0"/>
              <w:jc w:val="center"/>
              <w:rPr>
                <w:b w:val="0"/>
                <w:bCs w:val="0"/>
                <w:i/>
                <w:iCs/>
                <w:color w:val="000000" w:themeColor="text1"/>
                <w:sz w:val="18"/>
                <w:szCs w:val="18"/>
              </w:rPr>
            </w:pPr>
            <m:oMathPara>
              <m:oMath>
                <m:sSub>
                  <m:sSubPr>
                    <m:ctrlPr>
                      <w:rPr>
                        <w:rFonts w:ascii="Cambria Math" w:hAnsi="Cambria Math"/>
                        <w:b w:val="0"/>
                        <w:bCs w:val="0"/>
                        <w:i/>
                        <w:iCs/>
                        <w:color w:val="000000" w:themeColor="text1"/>
                        <w:sz w:val="18"/>
                        <w:szCs w:val="18"/>
                      </w:rPr>
                    </m:ctrlPr>
                  </m:sSubPr>
                  <m:e>
                    <m:r>
                      <m:rPr>
                        <m:sty m:val="bi"/>
                      </m:rPr>
                      <w:rPr>
                        <w:rFonts w:ascii="Cambria Math" w:hAnsi="Cambria Math"/>
                        <w:color w:val="000000" w:themeColor="text1"/>
                        <w:sz w:val="18"/>
                        <w:szCs w:val="18"/>
                      </w:rPr>
                      <m:t>D</m:t>
                    </m:r>
                  </m:e>
                  <m:sub>
                    <m:r>
                      <m:rPr>
                        <m:sty m:val="bi"/>
                      </m:rPr>
                      <w:rPr>
                        <w:rFonts w:ascii="Cambria Math" w:hAnsi="Cambria Math"/>
                        <w:color w:val="000000" w:themeColor="text1"/>
                        <w:sz w:val="18"/>
                        <w:szCs w:val="18"/>
                      </w:rPr>
                      <m:t>r</m:t>
                    </m:r>
                  </m:sub>
                </m:sSub>
              </m:oMath>
            </m:oMathPara>
          </w:p>
        </w:tc>
        <w:tc>
          <w:tcPr>
            <w:tcW w:w="1310" w:type="pct"/>
            <w:vAlign w:val="center"/>
          </w:tcPr>
          <w:p w:rsidR="002A25BF" w:rsidRPr="009D2AAD" w:rsidRDefault="002A25BF" w:rsidP="0069468E">
            <w:pPr>
              <w:widowControl w:val="0"/>
              <w:jc w:val="center"/>
              <w:cnfStyle w:val="000000100000" w:firstRow="0" w:lastRow="0" w:firstColumn="0" w:lastColumn="0" w:oddVBand="0" w:evenVBand="0" w:oddHBand="1" w:evenHBand="0" w:firstRowFirstColumn="0" w:firstRowLastColumn="0" w:lastRowFirstColumn="0" w:lastRowLastColumn="0"/>
              <w:rPr>
                <w:bCs/>
                <w:color w:val="000000" w:themeColor="text1"/>
                <w:sz w:val="18"/>
                <w:szCs w:val="18"/>
              </w:rPr>
            </w:pPr>
            <w:r w:rsidRPr="009D2AAD">
              <w:rPr>
                <w:bCs/>
                <w:color w:val="000000" w:themeColor="text1"/>
                <w:sz w:val="18"/>
                <w:szCs w:val="18"/>
              </w:rPr>
              <w:t>17</w:t>
            </w:r>
          </w:p>
        </w:tc>
        <w:tc>
          <w:tcPr>
            <w:tcW w:w="2925" w:type="pct"/>
            <w:vAlign w:val="center"/>
          </w:tcPr>
          <w:p w:rsidR="002A25BF" w:rsidRPr="009D2AAD" w:rsidRDefault="002A25BF" w:rsidP="0069468E">
            <w:pPr>
              <w:widowControl w:val="0"/>
              <w:jc w:val="both"/>
              <w:cnfStyle w:val="000000100000" w:firstRow="0" w:lastRow="0" w:firstColumn="0" w:lastColumn="0" w:oddVBand="0" w:evenVBand="0" w:oddHBand="1" w:evenHBand="0" w:firstRowFirstColumn="0" w:firstRowLastColumn="0" w:lastRowFirstColumn="0" w:lastRowLastColumn="0"/>
              <w:rPr>
                <w:bCs/>
                <w:color w:val="000000" w:themeColor="text1"/>
                <w:sz w:val="18"/>
                <w:szCs w:val="18"/>
              </w:rPr>
            </w:pPr>
            <w:r w:rsidRPr="009D2AAD">
              <w:rPr>
                <w:bCs/>
                <w:color w:val="000000" w:themeColor="text1"/>
                <w:sz w:val="18"/>
                <w:szCs w:val="18"/>
              </w:rPr>
              <w:t xml:space="preserve">Recovery time (in days) for infected individuals. </w:t>
            </w:r>
          </w:p>
        </w:tc>
      </w:tr>
      <w:tr w:rsidR="002A25BF" w:rsidRPr="009D2AAD" w:rsidTr="0069468E">
        <w:trPr>
          <w:trHeight w:val="432"/>
        </w:trPr>
        <w:tc>
          <w:tcPr>
            <w:cnfStyle w:val="001000000000" w:firstRow="0" w:lastRow="0" w:firstColumn="1" w:lastColumn="0" w:oddVBand="0" w:evenVBand="0" w:oddHBand="0" w:evenHBand="0" w:firstRowFirstColumn="0" w:firstRowLastColumn="0" w:lastRowFirstColumn="0" w:lastRowLastColumn="0"/>
            <w:tcW w:w="765" w:type="pct"/>
            <w:vAlign w:val="center"/>
          </w:tcPr>
          <w:p w:rsidR="002A25BF" w:rsidRPr="009D2AAD" w:rsidRDefault="002A25BF" w:rsidP="0069468E">
            <w:pPr>
              <w:widowControl w:val="0"/>
              <w:jc w:val="center"/>
              <w:rPr>
                <w:b w:val="0"/>
                <w:bCs w:val="0"/>
                <w:i/>
                <w:iCs/>
                <w:color w:val="000000" w:themeColor="text1"/>
                <w:sz w:val="18"/>
                <w:szCs w:val="18"/>
              </w:rPr>
            </w:pPr>
            <m:oMathPara>
              <m:oMath>
                <m:sSub>
                  <m:sSubPr>
                    <m:ctrlPr>
                      <w:rPr>
                        <w:rFonts w:ascii="Cambria Math" w:hAnsi="Cambria Math"/>
                        <w:b w:val="0"/>
                        <w:bCs w:val="0"/>
                        <w:i/>
                        <w:iCs/>
                        <w:color w:val="000000" w:themeColor="text1"/>
                        <w:sz w:val="18"/>
                        <w:szCs w:val="18"/>
                      </w:rPr>
                    </m:ctrlPr>
                  </m:sSubPr>
                  <m:e>
                    <m:r>
                      <m:rPr>
                        <m:sty m:val="bi"/>
                      </m:rPr>
                      <w:rPr>
                        <w:rFonts w:ascii="Cambria Math" w:hAnsi="Cambria Math"/>
                        <w:color w:val="000000" w:themeColor="text1"/>
                        <w:sz w:val="18"/>
                        <w:szCs w:val="18"/>
                      </w:rPr>
                      <m:t>D</m:t>
                    </m:r>
                  </m:e>
                  <m:sub>
                    <m:r>
                      <m:rPr>
                        <m:sty m:val="bi"/>
                      </m:rPr>
                      <w:rPr>
                        <w:rFonts w:ascii="Cambria Math" w:hAnsi="Cambria Math"/>
                        <w:color w:val="000000" w:themeColor="text1"/>
                        <w:sz w:val="18"/>
                        <w:szCs w:val="18"/>
                      </w:rPr>
                      <m:t>t</m:t>
                    </m:r>
                  </m:sub>
                </m:sSub>
              </m:oMath>
            </m:oMathPara>
          </w:p>
        </w:tc>
        <w:tc>
          <w:tcPr>
            <w:tcW w:w="1310" w:type="pct"/>
            <w:shd w:val="clear" w:color="auto" w:fill="auto"/>
            <w:vAlign w:val="center"/>
          </w:tcPr>
          <w:p w:rsidR="002A25BF" w:rsidRPr="009D2AAD" w:rsidRDefault="002A25BF" w:rsidP="0069468E">
            <w:pPr>
              <w:widowControl w:val="0"/>
              <w:jc w:val="center"/>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w:r w:rsidRPr="009D2AAD">
              <w:rPr>
                <w:bCs/>
                <w:color w:val="000000" w:themeColor="text1"/>
                <w:sz w:val="18"/>
                <w:szCs w:val="18"/>
              </w:rPr>
              <w:t>0</w:t>
            </w:r>
          </w:p>
        </w:tc>
        <w:tc>
          <w:tcPr>
            <w:tcW w:w="2925" w:type="pct"/>
            <w:vAlign w:val="center"/>
          </w:tcPr>
          <w:p w:rsidR="002A25BF" w:rsidRPr="009D2AAD" w:rsidRDefault="002A25BF" w:rsidP="0069468E">
            <w:pPr>
              <w:widowControl w:val="0"/>
              <w:jc w:val="both"/>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w:r w:rsidRPr="009D2AAD">
              <w:rPr>
                <w:bCs/>
                <w:color w:val="000000" w:themeColor="text1"/>
                <w:sz w:val="18"/>
                <w:szCs w:val="18"/>
              </w:rPr>
              <w:t>Waiting time (in days) for test result for tested individuals.</w:t>
            </w:r>
          </w:p>
        </w:tc>
      </w:tr>
      <w:tr w:rsidR="002A25BF" w:rsidRPr="009D2AAD" w:rsidTr="0069468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65" w:type="pct"/>
            <w:vAlign w:val="center"/>
          </w:tcPr>
          <w:p w:rsidR="002A25BF" w:rsidRPr="009D2AAD" w:rsidRDefault="002A25BF" w:rsidP="0069468E">
            <w:pPr>
              <w:widowControl w:val="0"/>
              <w:jc w:val="center"/>
              <w:rPr>
                <w:b w:val="0"/>
                <w:bCs w:val="0"/>
                <w:i/>
                <w:iCs/>
                <w:color w:val="000000" w:themeColor="text1"/>
                <w:sz w:val="18"/>
                <w:szCs w:val="18"/>
              </w:rPr>
            </w:pPr>
            <m:oMathPara>
              <m:oMath>
                <m:sSub>
                  <m:sSubPr>
                    <m:ctrlPr>
                      <w:rPr>
                        <w:rFonts w:ascii="Cambria Math" w:hAnsi="Cambria Math"/>
                        <w:b w:val="0"/>
                        <w:bCs w:val="0"/>
                        <w:i/>
                        <w:iCs/>
                        <w:color w:val="000000" w:themeColor="text1"/>
                        <w:sz w:val="18"/>
                        <w:szCs w:val="18"/>
                      </w:rPr>
                    </m:ctrlPr>
                  </m:sSubPr>
                  <m:e>
                    <m:r>
                      <m:rPr>
                        <m:sty m:val="bi"/>
                      </m:rPr>
                      <w:rPr>
                        <w:rFonts w:ascii="Cambria Math" w:hAnsi="Cambria Math"/>
                        <w:color w:val="000000" w:themeColor="text1"/>
                        <w:sz w:val="18"/>
                        <w:szCs w:val="18"/>
                      </w:rPr>
                      <m:t>μ</m:t>
                    </m:r>
                  </m:e>
                  <m:sub>
                    <m:r>
                      <m:rPr>
                        <m:sty m:val="bi"/>
                      </m:rPr>
                      <w:rPr>
                        <w:rFonts w:ascii="Cambria Math" w:hAnsi="Cambria Math"/>
                        <w:color w:val="000000" w:themeColor="text1"/>
                        <w:sz w:val="18"/>
                        <w:szCs w:val="18"/>
                      </w:rPr>
                      <m:t>C</m:t>
                    </m:r>
                  </m:sub>
                </m:sSub>
              </m:oMath>
            </m:oMathPara>
          </w:p>
        </w:tc>
        <w:tc>
          <w:tcPr>
            <w:tcW w:w="1310" w:type="pct"/>
            <w:vAlign w:val="center"/>
          </w:tcPr>
          <w:p w:rsidR="002A25BF" w:rsidRPr="009D2AAD" w:rsidRDefault="002A25BF" w:rsidP="0069468E">
            <w:pPr>
              <w:widowControl w:val="0"/>
              <w:jc w:val="center"/>
              <w:cnfStyle w:val="000000100000" w:firstRow="0" w:lastRow="0" w:firstColumn="0" w:lastColumn="0" w:oddVBand="0" w:evenVBand="0" w:oddHBand="1" w:evenHBand="0" w:firstRowFirstColumn="0" w:firstRowLastColumn="0" w:lastRowFirstColumn="0" w:lastRowLastColumn="0"/>
              <w:rPr>
                <w:bCs/>
                <w:color w:val="000000" w:themeColor="text1"/>
                <w:sz w:val="18"/>
                <w:szCs w:val="18"/>
              </w:rPr>
            </w:pPr>
            <w:r w:rsidRPr="009D2AAD">
              <w:rPr>
                <w:bCs/>
                <w:color w:val="000000" w:themeColor="text1"/>
                <w:sz w:val="18"/>
                <w:szCs w:val="18"/>
              </w:rPr>
              <w:t>0.0562</w:t>
            </w:r>
          </w:p>
        </w:tc>
        <w:tc>
          <w:tcPr>
            <w:tcW w:w="2925" w:type="pct"/>
            <w:vAlign w:val="center"/>
          </w:tcPr>
          <w:p w:rsidR="002A25BF" w:rsidRPr="009D2AAD" w:rsidRDefault="002A25BF" w:rsidP="0069468E">
            <w:pPr>
              <w:widowControl w:val="0"/>
              <w:jc w:val="both"/>
              <w:cnfStyle w:val="000000100000" w:firstRow="0" w:lastRow="0" w:firstColumn="0" w:lastColumn="0" w:oddVBand="0" w:evenVBand="0" w:oddHBand="1" w:evenHBand="0" w:firstRowFirstColumn="0" w:firstRowLastColumn="0" w:lastRowFirstColumn="0" w:lastRowLastColumn="0"/>
              <w:rPr>
                <w:bCs/>
                <w:color w:val="000000" w:themeColor="text1"/>
                <w:sz w:val="18"/>
                <w:szCs w:val="18"/>
              </w:rPr>
            </w:pPr>
            <w:r w:rsidRPr="009D2AAD">
              <w:rPr>
                <w:bCs/>
                <w:color w:val="000000" w:themeColor="text1"/>
                <w:sz w:val="18"/>
                <w:szCs w:val="18"/>
              </w:rPr>
              <w:t>Death rate attributable to COVID-19</w:t>
            </w:r>
            <w:r>
              <w:rPr>
                <w:bCs/>
                <w:color w:val="000000" w:themeColor="text1"/>
                <w:sz w:val="18"/>
                <w:szCs w:val="18"/>
                <w:vertAlign w:val="superscript"/>
              </w:rPr>
              <w:t>b</w:t>
            </w:r>
            <w:r w:rsidRPr="009D2AAD">
              <w:rPr>
                <w:bCs/>
                <w:color w:val="000000" w:themeColor="text1"/>
                <w:sz w:val="18"/>
                <w:szCs w:val="18"/>
              </w:rPr>
              <w:t>.</w:t>
            </w:r>
          </w:p>
        </w:tc>
      </w:tr>
      <w:tr w:rsidR="002A25BF" w:rsidRPr="009D2AAD" w:rsidTr="0069468E">
        <w:trPr>
          <w:trHeight w:val="432"/>
        </w:trPr>
        <w:tc>
          <w:tcPr>
            <w:cnfStyle w:val="001000000000" w:firstRow="0" w:lastRow="0" w:firstColumn="1" w:lastColumn="0" w:oddVBand="0" w:evenVBand="0" w:oddHBand="0" w:evenHBand="0" w:firstRowFirstColumn="0" w:firstRowLastColumn="0" w:lastRowFirstColumn="0" w:lastRowLastColumn="0"/>
            <w:tcW w:w="765" w:type="pct"/>
            <w:vAlign w:val="center"/>
          </w:tcPr>
          <w:p w:rsidR="002A25BF" w:rsidRPr="009D2AAD" w:rsidRDefault="002A25BF" w:rsidP="0069468E">
            <w:pPr>
              <w:widowControl w:val="0"/>
              <w:jc w:val="center"/>
              <w:rPr>
                <w:b w:val="0"/>
                <w:bCs w:val="0"/>
                <w:i/>
                <w:iCs/>
                <w:color w:val="000000" w:themeColor="text1"/>
                <w:sz w:val="18"/>
                <w:szCs w:val="18"/>
              </w:rPr>
            </w:pPr>
            <m:oMathPara>
              <m:oMath>
                <m:r>
                  <m:rPr>
                    <m:sty m:val="bi"/>
                  </m:rPr>
                  <w:rPr>
                    <w:rFonts w:ascii="Cambria Math" w:hAnsi="Cambria Math"/>
                    <w:color w:val="000000" w:themeColor="text1"/>
                    <w:sz w:val="18"/>
                    <w:szCs w:val="18"/>
                  </w:rPr>
                  <m:t>λ, μ</m:t>
                </m:r>
              </m:oMath>
            </m:oMathPara>
          </w:p>
        </w:tc>
        <w:tc>
          <w:tcPr>
            <w:tcW w:w="1310" w:type="pct"/>
            <w:shd w:val="clear" w:color="auto" w:fill="auto"/>
            <w:vAlign w:val="center"/>
          </w:tcPr>
          <w:p w:rsidR="002A25BF" w:rsidRPr="009D2AAD" w:rsidRDefault="002A25BF" w:rsidP="0069468E">
            <w:pPr>
              <w:widowControl w:val="0"/>
              <w:jc w:val="center"/>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m:oMathPara>
              <m:oMath>
                <m:r>
                  <w:rPr>
                    <w:rFonts w:ascii="Cambria Math" w:hAnsi="Cambria Math"/>
                    <w:color w:val="000000" w:themeColor="text1"/>
                    <w:sz w:val="18"/>
                    <w:szCs w:val="18"/>
                  </w:rPr>
                  <m:t>3.95</m:t>
                </m:r>
                <m:r>
                  <m:rPr>
                    <m:sty m:val="p"/>
                  </m:rPr>
                  <w:rPr>
                    <w:rFonts w:ascii="Cambria Math" w:hAnsi="Cambria Math"/>
                    <w:color w:val="000000" w:themeColor="text1"/>
                    <w:sz w:val="18"/>
                    <w:szCs w:val="18"/>
                  </w:rPr>
                  <m:t>×</m:t>
                </m:r>
                <m:sSup>
                  <m:sSupPr>
                    <m:ctrlPr>
                      <w:rPr>
                        <w:rFonts w:ascii="Cambria Math" w:hAnsi="Cambria Math"/>
                        <w:bCs/>
                        <w:i/>
                        <w:color w:val="000000" w:themeColor="text1"/>
                        <w:sz w:val="18"/>
                        <w:szCs w:val="18"/>
                      </w:rPr>
                    </m:ctrlPr>
                  </m:sSupPr>
                  <m:e>
                    <m:r>
                      <w:rPr>
                        <w:rFonts w:ascii="Cambria Math" w:hAnsi="Cambria Math"/>
                        <w:color w:val="000000" w:themeColor="text1"/>
                        <w:sz w:val="18"/>
                        <w:szCs w:val="18"/>
                      </w:rPr>
                      <m:t>10</m:t>
                    </m:r>
                    <m:ctrlPr>
                      <w:rPr>
                        <w:rFonts w:ascii="Cambria Math" w:hAnsi="Cambria Math"/>
                        <w:bCs/>
                        <w:color w:val="000000" w:themeColor="text1"/>
                        <w:sz w:val="18"/>
                        <w:szCs w:val="18"/>
                      </w:rPr>
                    </m:ctrlPr>
                  </m:e>
                  <m:sup>
                    <m:r>
                      <w:rPr>
                        <w:rFonts w:ascii="Cambria Math" w:hAnsi="Cambria Math"/>
                        <w:color w:val="000000" w:themeColor="text1"/>
                        <w:sz w:val="18"/>
                        <w:szCs w:val="18"/>
                      </w:rPr>
                      <m:t>-5</m:t>
                    </m:r>
                  </m:sup>
                </m:sSup>
              </m:oMath>
            </m:oMathPara>
          </w:p>
        </w:tc>
        <w:tc>
          <w:tcPr>
            <w:tcW w:w="2925" w:type="pct"/>
            <w:vAlign w:val="center"/>
          </w:tcPr>
          <w:p w:rsidR="002A25BF" w:rsidRPr="009D2AAD" w:rsidRDefault="002A25BF" w:rsidP="0069468E">
            <w:pPr>
              <w:widowControl w:val="0"/>
              <w:jc w:val="both"/>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w:r w:rsidRPr="009D2AAD">
              <w:rPr>
                <w:bCs/>
                <w:color w:val="000000" w:themeColor="text1"/>
                <w:sz w:val="18"/>
                <w:szCs w:val="18"/>
              </w:rPr>
              <w:t xml:space="preserve">Natural birth and death rates, </w:t>
            </w:r>
            <w:proofErr w:type="spellStart"/>
            <w:r w:rsidRPr="009D2AAD">
              <w:rPr>
                <w:bCs/>
                <w:color w:val="000000" w:themeColor="text1"/>
                <w:sz w:val="18"/>
                <w:szCs w:val="18"/>
              </w:rPr>
              <w:t>respectively</w:t>
            </w:r>
            <w:r>
              <w:rPr>
                <w:bCs/>
                <w:color w:val="000000" w:themeColor="text1"/>
                <w:sz w:val="18"/>
                <w:szCs w:val="18"/>
                <w:vertAlign w:val="superscript"/>
              </w:rPr>
              <w:t>b</w:t>
            </w:r>
            <w:proofErr w:type="spellEnd"/>
            <w:r w:rsidRPr="009D2AAD">
              <w:rPr>
                <w:bCs/>
                <w:color w:val="000000" w:themeColor="text1"/>
                <w:sz w:val="18"/>
                <w:szCs w:val="18"/>
              </w:rPr>
              <w:t>.</w:t>
            </w:r>
          </w:p>
        </w:tc>
      </w:tr>
      <w:tr w:rsidR="002A25BF" w:rsidRPr="009D2AAD" w:rsidTr="0069468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65" w:type="pct"/>
            <w:vAlign w:val="center"/>
          </w:tcPr>
          <w:p w:rsidR="002A25BF" w:rsidRPr="009D2AAD" w:rsidRDefault="002A25BF" w:rsidP="0069468E">
            <w:pPr>
              <w:widowControl w:val="0"/>
              <w:jc w:val="center"/>
              <w:rPr>
                <w:b w:val="0"/>
                <w:bCs w:val="0"/>
                <w:i/>
                <w:iCs/>
                <w:color w:val="000000" w:themeColor="text1"/>
                <w:sz w:val="18"/>
                <w:szCs w:val="18"/>
              </w:rPr>
            </w:pPr>
            <m:oMathPara>
              <m:oMath>
                <m:r>
                  <m:rPr>
                    <m:sty m:val="bi"/>
                  </m:rPr>
                  <w:rPr>
                    <w:rFonts w:ascii="Cambria Math" w:hAnsi="Cambria Math"/>
                    <w:color w:val="000000" w:themeColor="text1"/>
                    <w:sz w:val="18"/>
                    <w:szCs w:val="18"/>
                  </w:rPr>
                  <m:t>r</m:t>
                </m:r>
              </m:oMath>
            </m:oMathPara>
          </w:p>
        </w:tc>
        <w:tc>
          <w:tcPr>
            <w:tcW w:w="1310" w:type="pct"/>
            <w:vAlign w:val="center"/>
          </w:tcPr>
          <w:p w:rsidR="002A25BF" w:rsidRPr="009D2AAD" w:rsidRDefault="002A25BF" w:rsidP="0069468E">
            <w:pPr>
              <w:widowControl w:val="0"/>
              <w:jc w:val="center"/>
              <w:cnfStyle w:val="000000100000" w:firstRow="0" w:lastRow="0" w:firstColumn="0" w:lastColumn="0" w:oddVBand="0" w:evenVBand="0" w:oddHBand="1" w:evenHBand="0" w:firstRowFirstColumn="0" w:firstRowLastColumn="0" w:lastRowFirstColumn="0" w:lastRowLastColumn="0"/>
              <w:rPr>
                <w:bCs/>
                <w:color w:val="000000" w:themeColor="text1"/>
                <w:sz w:val="18"/>
                <w:szCs w:val="18"/>
              </w:rPr>
            </w:pPr>
            <w:r w:rsidRPr="009D2AAD">
              <w:rPr>
                <w:bCs/>
                <w:color w:val="000000" w:themeColor="text1"/>
                <w:sz w:val="18"/>
                <w:szCs w:val="18"/>
              </w:rPr>
              <w:t>Time-varying</w:t>
            </w:r>
          </w:p>
        </w:tc>
        <w:tc>
          <w:tcPr>
            <w:tcW w:w="2925" w:type="pct"/>
            <w:vAlign w:val="center"/>
          </w:tcPr>
          <w:p w:rsidR="002A25BF" w:rsidRPr="009D2AAD" w:rsidRDefault="002A25BF" w:rsidP="0069468E">
            <w:pPr>
              <w:widowControl w:val="0"/>
              <w:jc w:val="both"/>
              <w:cnfStyle w:val="000000100000" w:firstRow="0" w:lastRow="0" w:firstColumn="0" w:lastColumn="0" w:oddVBand="0" w:evenVBand="0" w:oddHBand="1" w:evenHBand="0" w:firstRowFirstColumn="0" w:firstRowLastColumn="0" w:lastRowFirstColumn="0" w:lastRowLastColumn="0"/>
              <w:rPr>
                <w:bCs/>
                <w:color w:val="000000" w:themeColor="text1"/>
                <w:sz w:val="18"/>
                <w:szCs w:val="18"/>
              </w:rPr>
            </w:pPr>
            <w:r w:rsidRPr="009D2AAD">
              <w:rPr>
                <w:bCs/>
                <w:color w:val="000000" w:themeColor="text1"/>
                <w:sz w:val="18"/>
                <w:szCs w:val="18"/>
              </w:rPr>
              <w:t>Probability of being tested for infectious individuals.</w:t>
            </w:r>
          </w:p>
        </w:tc>
      </w:tr>
      <w:tr w:rsidR="002A25BF" w:rsidRPr="009D2AAD" w:rsidTr="0069468E">
        <w:trPr>
          <w:trHeight w:val="432"/>
        </w:trPr>
        <w:tc>
          <w:tcPr>
            <w:cnfStyle w:val="001000000000" w:firstRow="0" w:lastRow="0" w:firstColumn="1" w:lastColumn="0" w:oddVBand="0" w:evenVBand="0" w:oddHBand="0" w:evenHBand="0" w:firstRowFirstColumn="0" w:firstRowLastColumn="0" w:lastRowFirstColumn="0" w:lastRowLastColumn="0"/>
            <w:tcW w:w="765" w:type="pct"/>
            <w:vAlign w:val="center"/>
          </w:tcPr>
          <w:p w:rsidR="002A25BF" w:rsidRPr="009D2AAD" w:rsidRDefault="002A25BF" w:rsidP="0069468E">
            <w:pPr>
              <w:widowControl w:val="0"/>
              <w:jc w:val="center"/>
              <w:rPr>
                <w:b w:val="0"/>
                <w:bCs w:val="0"/>
                <w:i/>
                <w:iCs/>
                <w:color w:val="000000" w:themeColor="text1"/>
                <w:sz w:val="18"/>
                <w:szCs w:val="18"/>
              </w:rPr>
            </w:pPr>
            <m:oMathPara>
              <m:oMath>
                <m:r>
                  <m:rPr>
                    <m:sty m:val="bi"/>
                  </m:rPr>
                  <w:rPr>
                    <w:rFonts w:ascii="Cambria Math" w:hAnsi="Cambria Math"/>
                    <w:color w:val="000000" w:themeColor="text1"/>
                    <w:sz w:val="18"/>
                    <w:szCs w:val="18"/>
                  </w:rPr>
                  <m:t>f</m:t>
                </m:r>
              </m:oMath>
            </m:oMathPara>
          </w:p>
        </w:tc>
        <w:tc>
          <w:tcPr>
            <w:tcW w:w="1310" w:type="pct"/>
            <w:shd w:val="clear" w:color="auto" w:fill="auto"/>
            <w:vAlign w:val="center"/>
          </w:tcPr>
          <w:p w:rsidR="002A25BF" w:rsidRPr="009D2AAD" w:rsidRDefault="002A25BF" w:rsidP="0069468E">
            <w:pPr>
              <w:widowControl w:val="0"/>
              <w:jc w:val="center"/>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w:r w:rsidRPr="009D2AAD">
              <w:rPr>
                <w:bCs/>
                <w:color w:val="000000" w:themeColor="text1"/>
                <w:sz w:val="18"/>
                <w:szCs w:val="18"/>
              </w:rPr>
              <w:t>0.30</w:t>
            </w:r>
          </w:p>
        </w:tc>
        <w:tc>
          <w:tcPr>
            <w:tcW w:w="2925" w:type="pct"/>
            <w:vAlign w:val="center"/>
          </w:tcPr>
          <w:p w:rsidR="002A25BF" w:rsidRPr="009D2AAD" w:rsidRDefault="002A25BF" w:rsidP="0069468E">
            <w:pPr>
              <w:widowControl w:val="0"/>
              <w:jc w:val="both"/>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w:r w:rsidRPr="009D2AAD">
              <w:rPr>
                <w:bCs/>
                <w:color w:val="000000" w:themeColor="text1"/>
                <w:sz w:val="18"/>
                <w:szCs w:val="18"/>
              </w:rPr>
              <w:t>Probability of a false negative RT-PCR diagnostic test result.</w:t>
            </w:r>
          </w:p>
        </w:tc>
      </w:tr>
      <w:tr w:rsidR="002A25BF" w:rsidRPr="009D2AAD" w:rsidTr="0069468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65" w:type="pct"/>
            <w:vAlign w:val="center"/>
          </w:tcPr>
          <w:p w:rsidR="002A25BF" w:rsidRPr="009D2AAD" w:rsidRDefault="002A25BF" w:rsidP="0069468E">
            <w:pPr>
              <w:widowControl w:val="0"/>
              <w:jc w:val="center"/>
              <w:rPr>
                <w:b w:val="0"/>
                <w:bCs w:val="0"/>
                <w:i/>
                <w:iCs/>
                <w:color w:val="000000" w:themeColor="text1"/>
                <w:sz w:val="18"/>
                <w:szCs w:val="18"/>
              </w:rPr>
            </w:pPr>
            <m:oMathPara>
              <m:oMath>
                <m:sSub>
                  <m:sSubPr>
                    <m:ctrlPr>
                      <w:rPr>
                        <w:rFonts w:ascii="Cambria Math" w:hAnsi="Cambria Math"/>
                        <w:b w:val="0"/>
                        <w:bCs w:val="0"/>
                        <w:i/>
                        <w:iCs/>
                        <w:color w:val="000000" w:themeColor="text1"/>
                        <w:sz w:val="18"/>
                        <w:szCs w:val="18"/>
                      </w:rPr>
                    </m:ctrlPr>
                  </m:sSubPr>
                  <m:e>
                    <m:r>
                      <m:rPr>
                        <m:sty m:val="bi"/>
                      </m:rPr>
                      <w:rPr>
                        <w:rFonts w:ascii="Cambria Math" w:hAnsi="Cambria Math"/>
                        <w:color w:val="000000" w:themeColor="text1"/>
                        <w:sz w:val="18"/>
                        <w:szCs w:val="18"/>
                      </w:rPr>
                      <m:t>β</m:t>
                    </m:r>
                  </m:e>
                  <m:sub>
                    <m:r>
                      <m:rPr>
                        <m:sty m:val="bi"/>
                      </m:rPr>
                      <w:rPr>
                        <w:rFonts w:ascii="Cambria Math" w:hAnsi="Cambria Math"/>
                        <w:color w:val="000000" w:themeColor="text1"/>
                        <w:sz w:val="18"/>
                        <w:szCs w:val="18"/>
                      </w:rPr>
                      <m:t>1</m:t>
                    </m:r>
                  </m:sub>
                </m:sSub>
                <m:r>
                  <m:rPr>
                    <m:sty m:val="bi"/>
                  </m:rPr>
                  <w:rPr>
                    <w:rFonts w:ascii="Cambria Math" w:hAnsi="Cambria Math"/>
                    <w:color w:val="000000" w:themeColor="text1"/>
                    <w:sz w:val="18"/>
                    <w:szCs w:val="18"/>
                  </w:rPr>
                  <m:t>,</m:t>
                </m:r>
                <m:sSub>
                  <m:sSubPr>
                    <m:ctrlPr>
                      <w:rPr>
                        <w:rFonts w:ascii="Cambria Math" w:hAnsi="Cambria Math"/>
                        <w:b w:val="0"/>
                        <w:bCs w:val="0"/>
                        <w:i/>
                        <w:iCs/>
                        <w:color w:val="000000" w:themeColor="text1"/>
                        <w:sz w:val="18"/>
                        <w:szCs w:val="18"/>
                      </w:rPr>
                    </m:ctrlPr>
                  </m:sSubPr>
                  <m:e>
                    <m:r>
                      <m:rPr>
                        <m:sty m:val="bi"/>
                      </m:rPr>
                      <w:rPr>
                        <w:rFonts w:ascii="Cambria Math" w:hAnsi="Cambria Math"/>
                        <w:color w:val="000000" w:themeColor="text1"/>
                        <w:sz w:val="18"/>
                        <w:szCs w:val="18"/>
                      </w:rPr>
                      <m:t>β</m:t>
                    </m:r>
                  </m:e>
                  <m:sub>
                    <m:r>
                      <m:rPr>
                        <m:sty m:val="bi"/>
                      </m:rPr>
                      <w:rPr>
                        <w:rFonts w:ascii="Cambria Math" w:hAnsi="Cambria Math"/>
                        <w:color w:val="000000" w:themeColor="text1"/>
                        <w:sz w:val="18"/>
                        <w:szCs w:val="18"/>
                      </w:rPr>
                      <m:t>2</m:t>
                    </m:r>
                  </m:sub>
                </m:sSub>
              </m:oMath>
            </m:oMathPara>
          </w:p>
        </w:tc>
        <w:tc>
          <w:tcPr>
            <w:tcW w:w="1310" w:type="pct"/>
            <w:vAlign w:val="center"/>
          </w:tcPr>
          <w:p w:rsidR="002A25BF" w:rsidRPr="009D2AAD" w:rsidRDefault="002A25BF" w:rsidP="0069468E">
            <w:pPr>
              <w:widowControl w:val="0"/>
              <w:jc w:val="center"/>
              <w:cnfStyle w:val="000000100000" w:firstRow="0" w:lastRow="0" w:firstColumn="0" w:lastColumn="0" w:oddVBand="0" w:evenVBand="0" w:oddHBand="1" w:evenHBand="0" w:firstRowFirstColumn="0" w:firstRowLastColumn="0" w:lastRowFirstColumn="0" w:lastRowLastColumn="0"/>
              <w:rPr>
                <w:bCs/>
                <w:color w:val="000000" w:themeColor="text1"/>
                <w:sz w:val="18"/>
                <w:szCs w:val="18"/>
              </w:rPr>
            </w:pPr>
            <w:r w:rsidRPr="009D2AAD">
              <w:rPr>
                <w:bCs/>
                <w:color w:val="000000" w:themeColor="text1"/>
                <w:sz w:val="18"/>
                <w:szCs w:val="18"/>
              </w:rPr>
              <w:t>0.6 (</w:t>
            </w:r>
            <m:oMath>
              <m:sSub>
                <m:sSubPr>
                  <m:ctrlPr>
                    <w:rPr>
                      <w:rFonts w:ascii="Cambria Math" w:hAnsi="Cambria Math"/>
                      <w:b/>
                      <w:i/>
                      <w:color w:val="000000" w:themeColor="text1"/>
                      <w:sz w:val="18"/>
                      <w:szCs w:val="18"/>
                    </w:rPr>
                  </m:ctrlPr>
                </m:sSubPr>
                <m:e>
                  <m:r>
                    <w:rPr>
                      <w:rFonts w:ascii="Cambria Math" w:hAnsi="Cambria Math"/>
                      <w:color w:val="000000" w:themeColor="text1"/>
                      <w:sz w:val="18"/>
                      <w:szCs w:val="18"/>
                    </w:rPr>
                    <m:t>β</m:t>
                  </m:r>
                  <m:ctrlPr>
                    <w:rPr>
                      <w:rFonts w:ascii="Cambria Math" w:hAnsi="Cambria Math"/>
                      <w:bCs/>
                      <w:color w:val="000000" w:themeColor="text1"/>
                      <w:sz w:val="18"/>
                      <w:szCs w:val="18"/>
                    </w:rPr>
                  </m:ctrlPr>
                </m:e>
                <m:sub>
                  <m:r>
                    <w:rPr>
                      <w:rFonts w:ascii="Cambria Math" w:hAnsi="Cambria Math"/>
                      <w:color w:val="000000" w:themeColor="text1"/>
                      <w:sz w:val="18"/>
                      <w:szCs w:val="18"/>
                    </w:rPr>
                    <m:t>1</m:t>
                  </m:r>
                </m:sub>
              </m:sSub>
            </m:oMath>
            <w:r w:rsidRPr="009D2AAD">
              <w:rPr>
                <w:bCs/>
                <w:color w:val="000000" w:themeColor="text1"/>
                <w:sz w:val="18"/>
                <w:szCs w:val="18"/>
              </w:rPr>
              <w:t>) and 0.7 (</w:t>
            </w:r>
            <m:oMath>
              <m:sSub>
                <m:sSubPr>
                  <m:ctrlPr>
                    <w:rPr>
                      <w:rFonts w:ascii="Cambria Math" w:hAnsi="Cambria Math"/>
                      <w:b/>
                      <w:i/>
                      <w:color w:val="000000" w:themeColor="text1"/>
                      <w:sz w:val="18"/>
                      <w:szCs w:val="18"/>
                    </w:rPr>
                  </m:ctrlPr>
                </m:sSubPr>
                <m:e>
                  <m:r>
                    <w:rPr>
                      <w:rFonts w:ascii="Cambria Math" w:hAnsi="Cambria Math"/>
                      <w:color w:val="000000" w:themeColor="text1"/>
                      <w:sz w:val="18"/>
                      <w:szCs w:val="18"/>
                    </w:rPr>
                    <m:t>β</m:t>
                  </m:r>
                </m:e>
                <m:sub>
                  <m:r>
                    <w:rPr>
                      <w:rFonts w:ascii="Cambria Math" w:hAnsi="Cambria Math"/>
                      <w:color w:val="000000" w:themeColor="text1"/>
                      <w:sz w:val="18"/>
                      <w:szCs w:val="18"/>
                    </w:rPr>
                    <m:t>2</m:t>
                  </m:r>
                </m:sub>
              </m:sSub>
            </m:oMath>
            <w:r w:rsidRPr="009D2AAD">
              <w:rPr>
                <w:bCs/>
                <w:color w:val="000000" w:themeColor="text1"/>
                <w:sz w:val="18"/>
                <w:szCs w:val="18"/>
              </w:rPr>
              <w:t>)</w:t>
            </w:r>
          </w:p>
        </w:tc>
        <w:tc>
          <w:tcPr>
            <w:tcW w:w="2925" w:type="pct"/>
            <w:vAlign w:val="center"/>
          </w:tcPr>
          <w:p w:rsidR="002A25BF" w:rsidRPr="009D2AAD" w:rsidRDefault="002A25BF" w:rsidP="0069468E">
            <w:pPr>
              <w:widowControl w:val="0"/>
              <w:jc w:val="both"/>
              <w:cnfStyle w:val="000000100000" w:firstRow="0" w:lastRow="0" w:firstColumn="0" w:lastColumn="0" w:oddVBand="0" w:evenVBand="0" w:oddHBand="1" w:evenHBand="0" w:firstRowFirstColumn="0" w:firstRowLastColumn="0" w:lastRowFirstColumn="0" w:lastRowLastColumn="0"/>
              <w:rPr>
                <w:bCs/>
                <w:color w:val="000000" w:themeColor="text1"/>
                <w:sz w:val="18"/>
                <w:szCs w:val="18"/>
              </w:rPr>
            </w:pPr>
            <w:r w:rsidRPr="009D2AAD">
              <w:rPr>
                <w:bCs/>
                <w:color w:val="000000" w:themeColor="text1"/>
                <w:sz w:val="18"/>
                <w:szCs w:val="18"/>
              </w:rPr>
              <w:t xml:space="preserve">Scaling factors for rate of recovery for undetected and false negative </w:t>
            </w:r>
            <w:proofErr w:type="gramStart"/>
            <w:r w:rsidRPr="009D2AAD">
              <w:rPr>
                <w:bCs/>
                <w:color w:val="000000" w:themeColor="text1"/>
                <w:sz w:val="18"/>
                <w:szCs w:val="18"/>
              </w:rPr>
              <w:t>individuals</w:t>
            </w:r>
            <w:proofErr w:type="gramEnd"/>
            <w:r w:rsidRPr="009D2AAD">
              <w:rPr>
                <w:bCs/>
                <w:color w:val="000000" w:themeColor="text1"/>
                <w:sz w:val="18"/>
                <w:szCs w:val="18"/>
              </w:rPr>
              <w:t xml:space="preserve"> </w:t>
            </w:r>
            <w:proofErr w:type="spellStart"/>
            <w:r w:rsidRPr="009D2AAD">
              <w:rPr>
                <w:bCs/>
                <w:color w:val="000000" w:themeColor="text1"/>
                <w:sz w:val="18"/>
                <w:szCs w:val="18"/>
              </w:rPr>
              <w:t>respectively</w:t>
            </w:r>
            <w:r w:rsidRPr="009D2AAD">
              <w:rPr>
                <w:bCs/>
                <w:color w:val="000000" w:themeColor="text1"/>
                <w:sz w:val="18"/>
                <w:szCs w:val="18"/>
                <w:vertAlign w:val="superscript"/>
              </w:rPr>
              <w:t>e</w:t>
            </w:r>
            <w:proofErr w:type="spellEnd"/>
            <w:r w:rsidRPr="009D2AAD">
              <w:rPr>
                <w:bCs/>
                <w:color w:val="000000" w:themeColor="text1"/>
                <w:sz w:val="18"/>
                <w:szCs w:val="18"/>
              </w:rPr>
              <w:t>.</w:t>
            </w:r>
          </w:p>
        </w:tc>
      </w:tr>
      <w:tr w:rsidR="002A25BF" w:rsidRPr="009D2AAD" w:rsidTr="0069468E">
        <w:trPr>
          <w:trHeight w:val="432"/>
        </w:trPr>
        <w:tc>
          <w:tcPr>
            <w:cnfStyle w:val="001000000000" w:firstRow="0" w:lastRow="0" w:firstColumn="1" w:lastColumn="0" w:oddVBand="0" w:evenVBand="0" w:oddHBand="0" w:evenHBand="0" w:firstRowFirstColumn="0" w:firstRowLastColumn="0" w:lastRowFirstColumn="0" w:lastRowLastColumn="0"/>
            <w:tcW w:w="765" w:type="pct"/>
            <w:vAlign w:val="center"/>
          </w:tcPr>
          <w:p w:rsidR="002A25BF" w:rsidRPr="009D2AAD" w:rsidRDefault="002A25BF" w:rsidP="0069468E">
            <w:pPr>
              <w:widowControl w:val="0"/>
              <w:jc w:val="center"/>
              <w:rPr>
                <w:b w:val="0"/>
                <w:bCs w:val="0"/>
                <w:i/>
                <w:iCs/>
                <w:color w:val="000000" w:themeColor="text1"/>
                <w:sz w:val="18"/>
                <w:szCs w:val="18"/>
              </w:rPr>
            </w:pPr>
            <m:oMathPara>
              <m:oMath>
                <m:sSub>
                  <m:sSubPr>
                    <m:ctrlPr>
                      <w:rPr>
                        <w:rFonts w:ascii="Cambria Math" w:hAnsi="Cambria Math"/>
                        <w:b w:val="0"/>
                        <w:bCs w:val="0"/>
                        <w:i/>
                        <w:iCs/>
                        <w:color w:val="000000" w:themeColor="text1"/>
                        <w:sz w:val="18"/>
                        <w:szCs w:val="18"/>
                      </w:rPr>
                    </m:ctrlPr>
                  </m:sSubPr>
                  <m:e>
                    <m:r>
                      <m:rPr>
                        <m:sty m:val="bi"/>
                      </m:rPr>
                      <w:rPr>
                        <w:rFonts w:ascii="Cambria Math" w:hAnsi="Cambria Math"/>
                        <w:color w:val="000000" w:themeColor="text1"/>
                        <w:sz w:val="18"/>
                        <w:szCs w:val="18"/>
                      </w:rPr>
                      <m:t>δ</m:t>
                    </m:r>
                  </m:e>
                  <m:sub>
                    <m:r>
                      <m:rPr>
                        <m:sty m:val="bi"/>
                      </m:rPr>
                      <w:rPr>
                        <w:rFonts w:ascii="Cambria Math" w:hAnsi="Cambria Math"/>
                        <w:color w:val="000000" w:themeColor="text1"/>
                        <w:sz w:val="18"/>
                        <w:szCs w:val="18"/>
                      </w:rPr>
                      <m:t>1</m:t>
                    </m:r>
                  </m:sub>
                </m:sSub>
                <m:r>
                  <m:rPr>
                    <m:sty m:val="bi"/>
                  </m:rPr>
                  <w:rPr>
                    <w:rFonts w:ascii="Cambria Math" w:hAnsi="Cambria Math"/>
                    <w:color w:val="000000" w:themeColor="text1"/>
                    <w:sz w:val="18"/>
                    <w:szCs w:val="18"/>
                  </w:rPr>
                  <m:t>,</m:t>
                </m:r>
                <m:sSub>
                  <m:sSubPr>
                    <m:ctrlPr>
                      <w:rPr>
                        <w:rFonts w:ascii="Cambria Math" w:hAnsi="Cambria Math"/>
                        <w:b w:val="0"/>
                        <w:bCs w:val="0"/>
                        <w:i/>
                        <w:iCs/>
                        <w:color w:val="000000" w:themeColor="text1"/>
                        <w:sz w:val="18"/>
                        <w:szCs w:val="18"/>
                      </w:rPr>
                    </m:ctrlPr>
                  </m:sSubPr>
                  <m:e>
                    <m:r>
                      <m:rPr>
                        <m:sty m:val="bi"/>
                      </m:rPr>
                      <w:rPr>
                        <w:rFonts w:ascii="Cambria Math" w:hAnsi="Cambria Math"/>
                        <w:color w:val="000000" w:themeColor="text1"/>
                        <w:sz w:val="18"/>
                        <w:szCs w:val="18"/>
                      </w:rPr>
                      <m:t>δ</m:t>
                    </m:r>
                  </m:e>
                  <m:sub>
                    <m:r>
                      <m:rPr>
                        <m:sty m:val="bi"/>
                      </m:rPr>
                      <w:rPr>
                        <w:rFonts w:ascii="Cambria Math" w:hAnsi="Cambria Math"/>
                        <w:color w:val="000000" w:themeColor="text1"/>
                        <w:sz w:val="18"/>
                        <w:szCs w:val="18"/>
                      </w:rPr>
                      <m:t>2</m:t>
                    </m:r>
                  </m:sub>
                </m:sSub>
              </m:oMath>
            </m:oMathPara>
          </w:p>
        </w:tc>
        <w:tc>
          <w:tcPr>
            <w:tcW w:w="1310" w:type="pct"/>
            <w:shd w:val="clear" w:color="auto" w:fill="auto"/>
            <w:vAlign w:val="center"/>
          </w:tcPr>
          <w:p w:rsidR="002A25BF" w:rsidRPr="009D2AAD" w:rsidRDefault="002A25BF" w:rsidP="0069468E">
            <w:pPr>
              <w:widowControl w:val="0"/>
              <w:jc w:val="center"/>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w:r w:rsidRPr="009D2AAD">
              <w:rPr>
                <w:bCs/>
                <w:color w:val="000000" w:themeColor="text1"/>
                <w:sz w:val="18"/>
                <w:szCs w:val="18"/>
              </w:rPr>
              <w:t>0.3 (</w:t>
            </w:r>
            <m:oMath>
              <m:sSub>
                <m:sSubPr>
                  <m:ctrlPr>
                    <w:rPr>
                      <w:rFonts w:ascii="Cambria Math" w:hAnsi="Cambria Math"/>
                      <w:b/>
                      <w:i/>
                      <w:color w:val="000000" w:themeColor="text1"/>
                      <w:sz w:val="18"/>
                      <w:szCs w:val="18"/>
                    </w:rPr>
                  </m:ctrlPr>
                </m:sSubPr>
                <m:e>
                  <m:r>
                    <w:rPr>
                      <w:rFonts w:ascii="Cambria Math" w:hAnsi="Cambria Math"/>
                      <w:color w:val="000000" w:themeColor="text1"/>
                      <w:sz w:val="18"/>
                      <w:szCs w:val="18"/>
                    </w:rPr>
                    <m:t>δ</m:t>
                  </m:r>
                  <m:ctrlPr>
                    <w:rPr>
                      <w:rFonts w:ascii="Cambria Math" w:hAnsi="Cambria Math"/>
                      <w:bCs/>
                      <w:color w:val="000000" w:themeColor="text1"/>
                      <w:sz w:val="18"/>
                      <w:szCs w:val="18"/>
                    </w:rPr>
                  </m:ctrlPr>
                </m:e>
                <m:sub>
                  <m:r>
                    <w:rPr>
                      <w:rFonts w:ascii="Cambria Math" w:hAnsi="Cambria Math"/>
                      <w:color w:val="000000" w:themeColor="text1"/>
                      <w:sz w:val="18"/>
                      <w:szCs w:val="18"/>
                    </w:rPr>
                    <m:t>1</m:t>
                  </m:r>
                </m:sub>
              </m:sSub>
            </m:oMath>
            <w:r w:rsidRPr="009D2AAD">
              <w:rPr>
                <w:bCs/>
                <w:color w:val="000000" w:themeColor="text1"/>
                <w:sz w:val="18"/>
                <w:szCs w:val="18"/>
              </w:rPr>
              <w:t>) and 0.7 (</w:t>
            </w:r>
            <m:oMath>
              <m:sSub>
                <m:sSubPr>
                  <m:ctrlPr>
                    <w:rPr>
                      <w:rFonts w:ascii="Cambria Math" w:hAnsi="Cambria Math"/>
                      <w:b/>
                      <w:i/>
                      <w:color w:val="000000" w:themeColor="text1"/>
                      <w:sz w:val="18"/>
                      <w:szCs w:val="18"/>
                    </w:rPr>
                  </m:ctrlPr>
                </m:sSubPr>
                <m:e>
                  <m:r>
                    <w:rPr>
                      <w:rFonts w:ascii="Cambria Math" w:hAnsi="Cambria Math"/>
                      <w:color w:val="000000" w:themeColor="text1"/>
                      <w:sz w:val="18"/>
                      <w:szCs w:val="18"/>
                    </w:rPr>
                    <m:t>δ</m:t>
                  </m:r>
                </m:e>
                <m:sub>
                  <m:r>
                    <w:rPr>
                      <w:rFonts w:ascii="Cambria Math" w:hAnsi="Cambria Math"/>
                      <w:color w:val="000000" w:themeColor="text1"/>
                      <w:sz w:val="18"/>
                      <w:szCs w:val="18"/>
                    </w:rPr>
                    <m:t>2</m:t>
                  </m:r>
                </m:sub>
              </m:sSub>
            </m:oMath>
            <w:r w:rsidRPr="009D2AAD">
              <w:rPr>
                <w:bCs/>
                <w:color w:val="000000" w:themeColor="text1"/>
                <w:sz w:val="18"/>
                <w:szCs w:val="18"/>
              </w:rPr>
              <w:t>)</w:t>
            </w:r>
          </w:p>
        </w:tc>
        <w:tc>
          <w:tcPr>
            <w:tcW w:w="2925" w:type="pct"/>
            <w:vAlign w:val="center"/>
          </w:tcPr>
          <w:p w:rsidR="002A25BF" w:rsidRPr="009D2AAD" w:rsidRDefault="002A25BF" w:rsidP="0069468E">
            <w:pPr>
              <w:widowControl w:val="0"/>
              <w:jc w:val="both"/>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w:r w:rsidRPr="009D2AAD">
              <w:rPr>
                <w:bCs/>
                <w:color w:val="000000" w:themeColor="text1"/>
                <w:sz w:val="18"/>
                <w:szCs w:val="18"/>
              </w:rPr>
              <w:t xml:space="preserve">Scaling factors for death rate for undetected and false negative </w:t>
            </w:r>
            <w:proofErr w:type="gramStart"/>
            <w:r w:rsidRPr="009D2AAD">
              <w:rPr>
                <w:bCs/>
                <w:color w:val="000000" w:themeColor="text1"/>
                <w:sz w:val="18"/>
                <w:szCs w:val="18"/>
              </w:rPr>
              <w:t>individuals</w:t>
            </w:r>
            <w:proofErr w:type="gramEnd"/>
            <w:r w:rsidRPr="009D2AAD">
              <w:rPr>
                <w:bCs/>
                <w:color w:val="000000" w:themeColor="text1"/>
                <w:sz w:val="18"/>
                <w:szCs w:val="18"/>
              </w:rPr>
              <w:t xml:space="preserve"> </w:t>
            </w:r>
            <w:proofErr w:type="spellStart"/>
            <w:r w:rsidRPr="009D2AAD">
              <w:rPr>
                <w:bCs/>
                <w:color w:val="000000" w:themeColor="text1"/>
                <w:sz w:val="18"/>
                <w:szCs w:val="18"/>
              </w:rPr>
              <w:t>respectively</w:t>
            </w:r>
            <w:r w:rsidRPr="009D2AAD">
              <w:rPr>
                <w:bCs/>
                <w:color w:val="000000" w:themeColor="text1"/>
                <w:sz w:val="18"/>
                <w:szCs w:val="18"/>
                <w:vertAlign w:val="superscript"/>
              </w:rPr>
              <w:t>f</w:t>
            </w:r>
            <w:proofErr w:type="spellEnd"/>
            <w:r w:rsidRPr="009D2AAD">
              <w:rPr>
                <w:bCs/>
                <w:color w:val="000000" w:themeColor="text1"/>
                <w:sz w:val="18"/>
                <w:szCs w:val="18"/>
              </w:rPr>
              <w:t>.</w:t>
            </w:r>
          </w:p>
        </w:tc>
      </w:tr>
    </w:tbl>
    <w:p w:rsidR="002A25BF" w:rsidRPr="00D93DC3" w:rsidRDefault="002A25BF" w:rsidP="002A25BF">
      <w:pPr>
        <w:pStyle w:val="ListParagraph"/>
        <w:widowControl w:val="0"/>
        <w:numPr>
          <w:ilvl w:val="0"/>
          <w:numId w:val="1"/>
        </w:numPr>
        <w:pBdr>
          <w:top w:val="nil"/>
          <w:left w:val="nil"/>
          <w:bottom w:val="nil"/>
          <w:right w:val="nil"/>
          <w:between w:val="nil"/>
        </w:pBdr>
        <w:spacing w:line="240" w:lineRule="auto"/>
        <w:jc w:val="both"/>
        <w:rPr>
          <w:sz w:val="18"/>
          <w:szCs w:val="18"/>
        </w:rPr>
      </w:pPr>
      <m:oMath>
        <m:sSub>
          <m:sSubPr>
            <m:ctrlPr>
              <w:rPr>
                <w:rFonts w:ascii="Cambria Math" w:hAnsi="Cambria Math"/>
                <w:i/>
                <w:sz w:val="18"/>
                <w:szCs w:val="18"/>
              </w:rPr>
            </m:ctrlPr>
          </m:sSubPr>
          <m:e>
            <m:r>
              <w:rPr>
                <w:rFonts w:ascii="Cambria Math" w:hAnsi="Cambria Math"/>
                <w:sz w:val="18"/>
                <w:szCs w:val="18"/>
              </w:rPr>
              <m:t>α</m:t>
            </m:r>
            <m:ctrlPr>
              <w:rPr>
                <w:rFonts w:ascii="Cambria Math" w:hAnsi="Cambria Math"/>
                <w:sz w:val="18"/>
                <w:szCs w:val="18"/>
              </w:rPr>
            </m:ctrlPr>
          </m:e>
          <m:sub>
            <m:r>
              <w:rPr>
                <w:rFonts w:ascii="Cambria Math" w:hAnsi="Cambria Math"/>
                <w:sz w:val="18"/>
                <w:szCs w:val="18"/>
              </w:rPr>
              <m:t xml:space="preserve">P </m:t>
            </m:r>
          </m:sub>
        </m:sSub>
        <m:r>
          <w:rPr>
            <w:rFonts w:ascii="Cambria Math" w:hAnsi="Cambria Math"/>
            <w:sz w:val="18"/>
            <w:szCs w:val="18"/>
          </w:rPr>
          <m:t xml:space="preserve">&lt; 1  </m:t>
        </m:r>
      </m:oMath>
      <w:proofErr w:type="gramStart"/>
      <w:r w:rsidRPr="009D2AAD">
        <w:rPr>
          <w:sz w:val="18"/>
          <w:szCs w:val="18"/>
        </w:rPr>
        <w:t>represents</w:t>
      </w:r>
      <w:proofErr w:type="gramEnd"/>
      <w:r w:rsidRPr="009D2AAD">
        <w:rPr>
          <w:sz w:val="18"/>
          <w:szCs w:val="18"/>
        </w:rPr>
        <w:t xml:space="preserve"> the scenario where individuals who test positive are infecting susceptible individuals are a lower rate than infected individuals with false negative test results.</w:t>
      </w:r>
      <m:oMath>
        <m:sSub>
          <m:sSubPr>
            <m:ctrlPr>
              <w:rPr>
                <w:rFonts w:ascii="Cambria Math" w:hAnsi="Cambria Math"/>
                <w:i/>
                <w:sz w:val="18"/>
                <w:szCs w:val="18"/>
              </w:rPr>
            </m:ctrlPr>
          </m:sSubPr>
          <m:e>
            <m:r>
              <w:rPr>
                <w:rFonts w:ascii="Cambria Math" w:hAnsi="Cambria Math"/>
                <w:sz w:val="18"/>
                <w:szCs w:val="18"/>
              </w:rPr>
              <m:t xml:space="preserve"> α</m:t>
            </m:r>
            <m:ctrlPr>
              <w:rPr>
                <w:rFonts w:ascii="Cambria Math" w:hAnsi="Cambria Math"/>
                <w:sz w:val="18"/>
                <w:szCs w:val="18"/>
              </w:rPr>
            </m:ctrlPr>
          </m:e>
          <m:sub>
            <m:r>
              <w:rPr>
                <w:rFonts w:ascii="Cambria Math" w:hAnsi="Cambria Math"/>
                <w:sz w:val="18"/>
                <w:szCs w:val="18"/>
              </w:rPr>
              <m:t>U</m:t>
            </m:r>
          </m:sub>
        </m:sSub>
        <m:r>
          <w:rPr>
            <w:rFonts w:ascii="Cambria Math" w:hAnsi="Cambria Math"/>
            <w:sz w:val="18"/>
            <w:szCs w:val="18"/>
          </w:rPr>
          <m:t xml:space="preserve"> &lt; 1</m:t>
        </m:r>
      </m:oMath>
      <w:r w:rsidRPr="00D93DC3">
        <w:rPr>
          <w:sz w:val="18"/>
          <w:szCs w:val="18"/>
        </w:rPr>
        <w:t xml:space="preserve"> </w:t>
      </w:r>
      <w:proofErr w:type="gramStart"/>
      <w:r w:rsidRPr="00D93DC3">
        <w:rPr>
          <w:sz w:val="18"/>
          <w:szCs w:val="18"/>
        </w:rPr>
        <w:t>is</w:t>
      </w:r>
      <w:proofErr w:type="gramEnd"/>
      <w:r w:rsidRPr="00D93DC3">
        <w:rPr>
          <w:sz w:val="18"/>
          <w:szCs w:val="18"/>
        </w:rPr>
        <w:t xml:space="preserve"> assumed as U mostly consists of asymptomatic or mildly symptomatic cases who are known to spread the disease at a much lower rate than those wi</w:t>
      </w:r>
      <w:proofErr w:type="spellStart"/>
      <w:r w:rsidRPr="00D93DC3">
        <w:rPr>
          <w:sz w:val="18"/>
          <w:szCs w:val="18"/>
        </w:rPr>
        <w:t>th</w:t>
      </w:r>
      <w:proofErr w:type="spellEnd"/>
      <w:r w:rsidRPr="00D93DC3">
        <w:rPr>
          <w:sz w:val="18"/>
          <w:szCs w:val="18"/>
        </w:rPr>
        <w:t xml:space="preserve"> higher levels of symptoms.</w:t>
      </w:r>
    </w:p>
    <w:p w:rsidR="002A25BF" w:rsidRPr="009450D8" w:rsidRDefault="002A25BF" w:rsidP="002A25BF">
      <w:pPr>
        <w:pStyle w:val="ListParagraph"/>
        <w:widowControl w:val="0"/>
        <w:numPr>
          <w:ilvl w:val="0"/>
          <w:numId w:val="1"/>
        </w:numPr>
        <w:pBdr>
          <w:top w:val="nil"/>
          <w:left w:val="nil"/>
          <w:bottom w:val="nil"/>
          <w:right w:val="nil"/>
          <w:between w:val="nil"/>
        </w:pBdr>
        <w:spacing w:line="240" w:lineRule="auto"/>
        <w:jc w:val="both"/>
        <w:rPr>
          <w:sz w:val="18"/>
          <w:szCs w:val="18"/>
        </w:rPr>
      </w:pPr>
      <w:r w:rsidRPr="009D2AAD">
        <w:rPr>
          <w:sz w:val="18"/>
          <w:szCs w:val="18"/>
        </w:rPr>
        <w:t>Equal to the inverse of the average number of days for death starting from the onset of disease, times the probability of death of an infected individual.</w:t>
      </w:r>
      <w:r>
        <w:rPr>
          <w:sz w:val="18"/>
          <w:szCs w:val="18"/>
        </w:rPr>
        <w:t xml:space="preserve"> </w:t>
      </w:r>
      <w:r w:rsidRPr="009450D8">
        <w:rPr>
          <w:sz w:val="18"/>
          <w:szCs w:val="18"/>
        </w:rPr>
        <w:t xml:space="preserve">Natural birth and death rates are assumed to be equal for simplicity. </w:t>
      </w:r>
    </w:p>
    <w:p w:rsidR="002A25BF" w:rsidRPr="009D2AAD" w:rsidRDefault="002A25BF" w:rsidP="002A25BF">
      <w:pPr>
        <w:pStyle w:val="ListParagraph"/>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18"/>
          <w:szCs w:val="18"/>
        </w:rPr>
      </w:pPr>
      <m:oMath>
        <m:sSub>
          <m:sSubPr>
            <m:ctrlPr>
              <w:rPr>
                <w:rFonts w:ascii="Cambria Math" w:hAnsi="Cambria Math"/>
                <w:i/>
                <w:sz w:val="18"/>
                <w:szCs w:val="18"/>
              </w:rPr>
            </m:ctrlPr>
          </m:sSubPr>
          <m:e>
            <m:r>
              <w:rPr>
                <w:rFonts w:ascii="Cambria Math" w:hAnsi="Cambria Math"/>
                <w:sz w:val="18"/>
                <w:szCs w:val="18"/>
              </w:rPr>
              <m:t>β</m:t>
            </m:r>
            <m:ctrlPr>
              <w:rPr>
                <w:rFonts w:ascii="Cambria Math" w:hAnsi="Cambria Math"/>
                <w:sz w:val="18"/>
                <w:szCs w:val="18"/>
              </w:rPr>
            </m:ctrlPr>
          </m:e>
          <m:sub>
            <m:r>
              <w:rPr>
                <w:rFonts w:ascii="Cambria Math" w:hAnsi="Cambria Math"/>
                <w:sz w:val="18"/>
                <w:szCs w:val="18"/>
              </w:rPr>
              <m:t>1</m:t>
            </m:r>
          </m:sub>
        </m:sSub>
        <m:r>
          <w:rPr>
            <w:rFonts w:ascii="Cambria Math" w:hAnsi="Cambria Math"/>
            <w:sz w:val="18"/>
            <w:szCs w:val="18"/>
          </w:rPr>
          <m:t xml:space="preserve">&lt;1, </m:t>
        </m:r>
        <m:sSub>
          <m:sSubPr>
            <m:ctrlPr>
              <w:rPr>
                <w:rFonts w:ascii="Cambria Math" w:hAnsi="Cambria Math"/>
                <w:i/>
                <w:sz w:val="18"/>
                <w:szCs w:val="18"/>
              </w:rPr>
            </m:ctrlPr>
          </m:sSubPr>
          <m:e>
            <m:r>
              <m:rPr>
                <m:sty m:val="p"/>
              </m:rPr>
              <w:rPr>
                <w:rFonts w:ascii="Cambria Math" w:hAnsi="Cambria Math"/>
                <w:sz w:val="18"/>
                <w:szCs w:val="18"/>
              </w:rPr>
              <m:t xml:space="preserve"> </m:t>
            </m:r>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&lt;1</m:t>
        </m:r>
      </m:oMath>
      <w:r w:rsidRPr="009D2AAD">
        <w:rPr>
          <w:sz w:val="18"/>
          <w:szCs w:val="18"/>
        </w:rPr>
        <w:t xml:space="preserve"> </w:t>
      </w:r>
      <w:proofErr w:type="gramStart"/>
      <w:r w:rsidRPr="009D2AAD">
        <w:rPr>
          <w:sz w:val="18"/>
          <w:szCs w:val="18"/>
        </w:rPr>
        <w:t>are</w:t>
      </w:r>
      <w:proofErr w:type="gramEnd"/>
      <w:r w:rsidRPr="009D2AAD">
        <w:rPr>
          <w:sz w:val="18"/>
          <w:szCs w:val="18"/>
        </w:rPr>
        <w:t xml:space="preserve"> assumed, since the recovery rate is slower for individuals with false negative test results as compared to those who have been hospitalized. The condition of untested individuals is not as severe as they consist of mostly asymptomatic peo</w:t>
      </w:r>
      <w:proofErr w:type="spellStart"/>
      <w:r w:rsidRPr="009D2AAD">
        <w:rPr>
          <w:sz w:val="18"/>
          <w:szCs w:val="18"/>
        </w:rPr>
        <w:t>ple</w:t>
      </w:r>
      <w:proofErr w:type="spellEnd"/>
      <w:r w:rsidRPr="009D2AAD">
        <w:rPr>
          <w:sz w:val="18"/>
          <w:szCs w:val="18"/>
        </w:rPr>
        <w:t xml:space="preserve">. Consequently, they are assumed to recover faster than those with positive test results. </w:t>
      </w:r>
    </w:p>
    <w:p w:rsidR="002A25BF" w:rsidRPr="009D2AAD" w:rsidRDefault="002A25BF" w:rsidP="002A25BF">
      <w:pPr>
        <w:pStyle w:val="ListParagraph"/>
        <w:widowControl w:val="0"/>
        <w:numPr>
          <w:ilvl w:val="0"/>
          <w:numId w:val="1"/>
        </w:numPr>
        <w:pBdr>
          <w:top w:val="nil"/>
          <w:left w:val="nil"/>
          <w:bottom w:val="nil"/>
          <w:right w:val="nil"/>
          <w:between w:val="nil"/>
        </w:pBdr>
        <w:spacing w:line="240" w:lineRule="auto"/>
        <w:jc w:val="both"/>
        <w:rPr>
          <w:sz w:val="18"/>
          <w:szCs w:val="18"/>
        </w:rPr>
      </w:pPr>
      <m:oMath>
        <m:sSub>
          <m:sSubPr>
            <m:ctrlPr>
              <w:rPr>
                <w:rFonts w:ascii="Cambria Math" w:hAnsi="Cambria Math"/>
                <w:i/>
                <w:sz w:val="18"/>
                <w:szCs w:val="18"/>
              </w:rPr>
            </m:ctrlPr>
          </m:sSubPr>
          <m:e>
            <m:r>
              <w:rPr>
                <w:rFonts w:ascii="Cambria Math" w:hAnsi="Cambria Math"/>
                <w:sz w:val="18"/>
                <w:szCs w:val="18"/>
              </w:rPr>
              <m:t>δ</m:t>
            </m:r>
            <m:ctrlPr>
              <w:rPr>
                <w:rFonts w:ascii="Cambria Math" w:hAnsi="Cambria Math"/>
                <w:sz w:val="18"/>
                <w:szCs w:val="18"/>
              </w:rPr>
            </m:ctrlPr>
          </m:e>
          <m:sub>
            <m:r>
              <w:rPr>
                <w:rFonts w:ascii="Cambria Math" w:hAnsi="Cambria Math"/>
                <w:sz w:val="18"/>
                <w:szCs w:val="18"/>
              </w:rPr>
              <m:t>1</m:t>
            </m:r>
          </m:sub>
        </m:sSub>
        <m:r>
          <w:rPr>
            <w:rFonts w:ascii="Cambria Math" w:hAnsi="Cambria Math"/>
            <w:sz w:val="18"/>
            <w:szCs w:val="18"/>
          </w:rPr>
          <m:t xml:space="preserve">&lt;1, </m:t>
        </m:r>
        <m:sSub>
          <m:sSubPr>
            <m:ctrlPr>
              <w:rPr>
                <w:rFonts w:ascii="Cambria Math" w:hAnsi="Cambria Math"/>
                <w:i/>
                <w:sz w:val="18"/>
                <w:szCs w:val="18"/>
              </w:rPr>
            </m:ctrlPr>
          </m:sSubPr>
          <m:e>
            <m:r>
              <m:rPr>
                <m:sty m:val="p"/>
              </m:rPr>
              <w:rPr>
                <w:rFonts w:ascii="Cambria Math" w:hAnsi="Cambria Math"/>
                <w:sz w:val="18"/>
                <w:szCs w:val="18"/>
              </w:rPr>
              <m:t xml:space="preserve"> </m:t>
            </m:r>
            <m:r>
              <w:rPr>
                <w:rFonts w:ascii="Cambria Math" w:hAnsi="Cambria Math"/>
                <w:sz w:val="18"/>
                <w:szCs w:val="18"/>
              </w:rPr>
              <m:t>δ</m:t>
            </m:r>
          </m:e>
          <m:sub>
            <m:r>
              <w:rPr>
                <w:rFonts w:ascii="Cambria Math" w:hAnsi="Cambria Math"/>
                <w:sz w:val="18"/>
                <w:szCs w:val="18"/>
              </w:rPr>
              <m:t>2</m:t>
            </m:r>
          </m:sub>
        </m:sSub>
        <m:r>
          <w:rPr>
            <w:rFonts w:ascii="Cambria Math" w:hAnsi="Cambria Math"/>
            <w:sz w:val="18"/>
            <w:szCs w:val="18"/>
          </w:rPr>
          <m:t>&lt;1</m:t>
        </m:r>
      </m:oMath>
      <w:r w:rsidRPr="009D2AAD">
        <w:rPr>
          <w:sz w:val="18"/>
          <w:szCs w:val="18"/>
        </w:rPr>
        <w:t xml:space="preserve"> </w:t>
      </w:r>
      <w:proofErr w:type="gramStart"/>
      <w:r w:rsidRPr="009D2AAD">
        <w:rPr>
          <w:sz w:val="18"/>
          <w:szCs w:val="18"/>
        </w:rPr>
        <w:t>are</w:t>
      </w:r>
      <w:proofErr w:type="gramEnd"/>
      <w:r w:rsidRPr="009D2AAD">
        <w:rPr>
          <w:sz w:val="18"/>
          <w:szCs w:val="18"/>
        </w:rPr>
        <w:t xml:space="preserve"> assumed. The death rate for those with false negative test results is assumed to be higher than those with positive test results, since the form</w:t>
      </w:r>
      <w:proofErr w:type="spellStart"/>
      <w:r w:rsidRPr="009D2AAD">
        <w:rPr>
          <w:sz w:val="18"/>
          <w:szCs w:val="18"/>
        </w:rPr>
        <w:t>er</w:t>
      </w:r>
      <w:proofErr w:type="spellEnd"/>
      <w:r w:rsidRPr="009D2AAD">
        <w:rPr>
          <w:sz w:val="18"/>
          <w:szCs w:val="18"/>
        </w:rPr>
        <w:t xml:space="preserve"> are not receiving proper treatment. For untested individuals, the death rate is taken to be lesser because they are mostly asymptomatic. As a result, their survival probability is much higher.</w:t>
      </w:r>
    </w:p>
    <w:p w:rsidR="002A25BF" w:rsidRPr="00ED2811" w:rsidRDefault="002A25BF" w:rsidP="002A25BF">
      <w:pPr>
        <w:widowControl w:val="0"/>
        <w:pBdr>
          <w:top w:val="nil"/>
          <w:left w:val="nil"/>
          <w:bottom w:val="nil"/>
          <w:right w:val="nil"/>
          <w:between w:val="nil"/>
        </w:pBdr>
        <w:jc w:val="both"/>
        <w:rPr>
          <w:sz w:val="18"/>
          <w:szCs w:val="18"/>
        </w:rPr>
      </w:pPr>
    </w:p>
    <w:p w:rsidR="002A25BF" w:rsidRPr="00ED2811" w:rsidRDefault="002A25BF" w:rsidP="002A25BF">
      <w:pPr>
        <w:pStyle w:val="Caption"/>
        <w:widowControl w:val="0"/>
        <w:suppressLineNumbers w:val="0"/>
        <w:jc w:val="center"/>
        <w:rPr>
          <w:sz w:val="18"/>
          <w:szCs w:val="18"/>
        </w:rPr>
      </w:pPr>
      <w:r w:rsidRPr="00DE064E">
        <w:rPr>
          <w:b/>
          <w:bCs/>
          <w:sz w:val="18"/>
          <w:szCs w:val="18"/>
        </w:rPr>
        <w:lastRenderedPageBreak/>
        <w:t>Supplementary Table S2:</w:t>
      </w:r>
      <w:r w:rsidRPr="00ED2811">
        <w:rPr>
          <w:sz w:val="18"/>
          <w:szCs w:val="18"/>
        </w:rPr>
        <w:t xml:space="preserve"> Overview of projected COVID-counts for each model considered.</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8"/>
        <w:gridCol w:w="3307"/>
        <w:gridCol w:w="3307"/>
        <w:gridCol w:w="3307"/>
      </w:tblGrid>
      <w:tr w:rsidR="002A25BF" w:rsidRPr="009D2AAD" w:rsidTr="0069468E">
        <w:trPr>
          <w:cnfStyle w:val="100000000000" w:firstRow="1" w:lastRow="0" w:firstColumn="0" w:lastColumn="0" w:oddVBand="0" w:evenVBand="0" w:oddHBand="0" w:evenHBand="0" w:firstRowFirstColumn="0" w:firstRowLastColumn="0" w:lastRowFirstColumn="0" w:lastRowLastColumn="0"/>
          <w:trHeight w:hRule="exact" w:val="720"/>
        </w:trPr>
        <w:tc>
          <w:tcPr>
            <w:cnfStyle w:val="001000000000" w:firstRow="0" w:lastRow="0" w:firstColumn="1" w:lastColumn="0" w:oddVBand="0" w:evenVBand="0" w:oddHBand="0" w:evenHBand="0" w:firstRowFirstColumn="0" w:firstRowLastColumn="0" w:lastRowFirstColumn="0" w:lastRowLastColumn="0"/>
            <w:tcW w:w="1250" w:type="pct"/>
            <w:vMerge w:val="restart"/>
            <w:vAlign w:val="center"/>
          </w:tcPr>
          <w:p w:rsidR="002A25BF" w:rsidRPr="009D2AAD" w:rsidRDefault="002A25BF" w:rsidP="0069468E">
            <w:pPr>
              <w:widowControl w:val="0"/>
              <w:jc w:val="center"/>
              <w:rPr>
                <w:bCs w:val="0"/>
                <w:color w:val="000000" w:themeColor="text1"/>
                <w:sz w:val="18"/>
                <w:szCs w:val="18"/>
              </w:rPr>
            </w:pPr>
            <w:r w:rsidRPr="009D2AAD">
              <w:rPr>
                <w:bCs w:val="0"/>
                <w:color w:val="000000" w:themeColor="text1"/>
                <w:sz w:val="18"/>
                <w:szCs w:val="18"/>
              </w:rPr>
              <w:t>Type of count projected</w:t>
            </w:r>
          </w:p>
        </w:tc>
        <w:tc>
          <w:tcPr>
            <w:tcW w:w="3750" w:type="pct"/>
            <w:gridSpan w:val="3"/>
            <w:vAlign w:val="center"/>
          </w:tcPr>
          <w:p w:rsidR="002A25BF" w:rsidRPr="009D2AAD" w:rsidRDefault="002A25BF" w:rsidP="0069468E">
            <w:pPr>
              <w:widowControl w:val="0"/>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18"/>
                <w:szCs w:val="18"/>
              </w:rPr>
            </w:pPr>
            <w:r w:rsidRPr="009D2AAD">
              <w:rPr>
                <w:bCs w:val="0"/>
                <w:color w:val="000000" w:themeColor="text1"/>
                <w:sz w:val="18"/>
                <w:szCs w:val="18"/>
              </w:rPr>
              <w:t>COVID-counts</w:t>
            </w:r>
          </w:p>
        </w:tc>
      </w:tr>
      <w:tr w:rsidR="002A25BF" w:rsidRPr="009D2AAD" w:rsidTr="0069468E">
        <w:trPr>
          <w:cnfStyle w:val="000000100000" w:firstRow="0" w:lastRow="0" w:firstColumn="0" w:lastColumn="0" w:oddVBand="0" w:evenVBand="0" w:oddHBand="1" w:evenHBand="0" w:firstRowFirstColumn="0" w:firstRowLastColumn="0" w:lastRowFirstColumn="0" w:lastRowLastColumn="0"/>
          <w:trHeight w:hRule="exact" w:val="720"/>
        </w:trPr>
        <w:tc>
          <w:tcPr>
            <w:cnfStyle w:val="001000000000" w:firstRow="0" w:lastRow="0" w:firstColumn="1" w:lastColumn="0" w:oddVBand="0" w:evenVBand="0" w:oddHBand="0" w:evenHBand="0" w:firstRowFirstColumn="0" w:firstRowLastColumn="0" w:lastRowFirstColumn="0" w:lastRowLastColumn="0"/>
            <w:tcW w:w="1250" w:type="pct"/>
            <w:vMerge/>
            <w:vAlign w:val="center"/>
          </w:tcPr>
          <w:p w:rsidR="002A25BF" w:rsidRPr="009D2AAD" w:rsidRDefault="002A25BF" w:rsidP="0069468E">
            <w:pPr>
              <w:widowControl w:val="0"/>
              <w:jc w:val="center"/>
              <w:rPr>
                <w:bCs w:val="0"/>
                <w:color w:val="000000" w:themeColor="text1"/>
                <w:sz w:val="18"/>
                <w:szCs w:val="18"/>
              </w:rPr>
            </w:pPr>
          </w:p>
        </w:tc>
        <w:tc>
          <w:tcPr>
            <w:tcW w:w="1250" w:type="pct"/>
            <w:vAlign w:val="center"/>
          </w:tcPr>
          <w:p w:rsidR="002A25BF" w:rsidRPr="009D2AAD" w:rsidRDefault="002A25BF" w:rsidP="0069468E">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szCs w:val="18"/>
              </w:rPr>
            </w:pPr>
            <w:r w:rsidRPr="009D2AAD">
              <w:rPr>
                <w:b/>
                <w:color w:val="000000" w:themeColor="text1"/>
                <w:sz w:val="18"/>
                <w:szCs w:val="18"/>
              </w:rPr>
              <w:t>Cumulative</w:t>
            </w:r>
          </w:p>
          <w:p w:rsidR="002A25BF" w:rsidRPr="009D2AAD" w:rsidRDefault="002A25BF" w:rsidP="0069468E">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szCs w:val="18"/>
              </w:rPr>
            </w:pPr>
            <w:r w:rsidRPr="009D2AAD">
              <w:rPr>
                <w:b/>
                <w:color w:val="000000" w:themeColor="text1"/>
                <w:sz w:val="18"/>
                <w:szCs w:val="18"/>
              </w:rPr>
              <w:t>COVID-cases</w:t>
            </w:r>
          </w:p>
        </w:tc>
        <w:tc>
          <w:tcPr>
            <w:tcW w:w="1250" w:type="pct"/>
            <w:vAlign w:val="center"/>
          </w:tcPr>
          <w:p w:rsidR="002A25BF" w:rsidRPr="009D2AAD" w:rsidRDefault="002A25BF" w:rsidP="0069468E">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szCs w:val="18"/>
              </w:rPr>
            </w:pPr>
            <w:r w:rsidRPr="009D2AAD">
              <w:rPr>
                <w:b/>
                <w:color w:val="000000" w:themeColor="text1"/>
                <w:sz w:val="18"/>
                <w:szCs w:val="18"/>
              </w:rPr>
              <w:t>Active</w:t>
            </w:r>
          </w:p>
          <w:p w:rsidR="002A25BF" w:rsidRPr="009D2AAD" w:rsidRDefault="002A25BF" w:rsidP="0069468E">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szCs w:val="18"/>
              </w:rPr>
            </w:pPr>
            <w:r w:rsidRPr="009D2AAD">
              <w:rPr>
                <w:b/>
                <w:color w:val="000000" w:themeColor="text1"/>
                <w:sz w:val="18"/>
                <w:szCs w:val="18"/>
              </w:rPr>
              <w:t>COVID-cases</w:t>
            </w:r>
          </w:p>
        </w:tc>
        <w:tc>
          <w:tcPr>
            <w:tcW w:w="1250" w:type="pct"/>
            <w:vAlign w:val="center"/>
          </w:tcPr>
          <w:p w:rsidR="002A25BF" w:rsidRPr="009D2AAD" w:rsidRDefault="002A25BF" w:rsidP="0069468E">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szCs w:val="18"/>
              </w:rPr>
            </w:pPr>
            <w:r w:rsidRPr="009D2AAD">
              <w:rPr>
                <w:b/>
                <w:color w:val="000000" w:themeColor="text1"/>
                <w:sz w:val="18"/>
                <w:szCs w:val="18"/>
              </w:rPr>
              <w:t>Cumulative</w:t>
            </w:r>
          </w:p>
          <w:p w:rsidR="002A25BF" w:rsidRPr="009D2AAD" w:rsidRDefault="002A25BF" w:rsidP="0069468E">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szCs w:val="18"/>
              </w:rPr>
            </w:pPr>
            <w:r w:rsidRPr="009D2AAD">
              <w:rPr>
                <w:b/>
                <w:color w:val="000000" w:themeColor="text1"/>
                <w:sz w:val="18"/>
                <w:szCs w:val="18"/>
              </w:rPr>
              <w:t>COVID-deaths</w:t>
            </w:r>
          </w:p>
        </w:tc>
      </w:tr>
      <w:tr w:rsidR="002A25BF" w:rsidRPr="009D2AAD" w:rsidTr="0069468E">
        <w:trPr>
          <w:trHeight w:hRule="exact" w:val="72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2A25BF" w:rsidRPr="009D2AAD" w:rsidRDefault="002A25BF" w:rsidP="0069468E">
            <w:pPr>
              <w:widowControl w:val="0"/>
              <w:jc w:val="center"/>
              <w:rPr>
                <w:bCs w:val="0"/>
                <w:color w:val="000000" w:themeColor="text1"/>
                <w:sz w:val="18"/>
                <w:szCs w:val="18"/>
              </w:rPr>
            </w:pPr>
            <w:r w:rsidRPr="009D2AAD">
              <w:rPr>
                <w:bCs w:val="0"/>
                <w:color w:val="000000" w:themeColor="text1"/>
                <w:sz w:val="18"/>
                <w:szCs w:val="18"/>
              </w:rPr>
              <w:t>Reported</w:t>
            </w:r>
          </w:p>
        </w:tc>
        <w:tc>
          <w:tcPr>
            <w:tcW w:w="1250" w:type="pct"/>
            <w:vAlign w:val="center"/>
          </w:tcPr>
          <w:p w:rsidR="002A25BF" w:rsidRPr="003C293B" w:rsidRDefault="002A25BF" w:rsidP="0069468E">
            <w:pPr>
              <w:widowControl w:val="0"/>
              <w:jc w:val="center"/>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w:r w:rsidRPr="003C293B">
              <w:rPr>
                <w:bCs/>
                <w:color w:val="000000" w:themeColor="text1"/>
                <w:sz w:val="18"/>
                <w:szCs w:val="18"/>
              </w:rPr>
              <w:t xml:space="preserve">Baseline, </w:t>
            </w:r>
            <w:proofErr w:type="spellStart"/>
            <w:r w:rsidRPr="003C293B">
              <w:rPr>
                <w:bCs/>
                <w:color w:val="000000" w:themeColor="text1"/>
                <w:sz w:val="18"/>
                <w:szCs w:val="18"/>
              </w:rPr>
              <w:t>eSIR</w:t>
            </w:r>
            <w:proofErr w:type="spellEnd"/>
            <w:r w:rsidRPr="003C293B">
              <w:rPr>
                <w:bCs/>
                <w:color w:val="000000" w:themeColor="text1"/>
                <w:sz w:val="18"/>
                <w:szCs w:val="18"/>
              </w:rPr>
              <w:t>, SAPHIRE, SEIR-</w:t>
            </w:r>
            <w:proofErr w:type="spellStart"/>
            <w:r w:rsidRPr="003C293B">
              <w:rPr>
                <w:bCs/>
                <w:color w:val="000000" w:themeColor="text1"/>
                <w:sz w:val="18"/>
                <w:szCs w:val="18"/>
              </w:rPr>
              <w:t>fansy</w:t>
            </w:r>
            <w:proofErr w:type="spellEnd"/>
          </w:p>
        </w:tc>
        <w:tc>
          <w:tcPr>
            <w:tcW w:w="1250" w:type="pct"/>
            <w:vAlign w:val="center"/>
          </w:tcPr>
          <w:p w:rsidR="002A25BF" w:rsidRPr="003C293B" w:rsidRDefault="002A25BF" w:rsidP="0069468E">
            <w:pPr>
              <w:widowControl w:val="0"/>
              <w:jc w:val="center"/>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w:proofErr w:type="spellStart"/>
            <w:r w:rsidRPr="003C293B">
              <w:rPr>
                <w:bCs/>
                <w:color w:val="000000" w:themeColor="text1"/>
                <w:sz w:val="18"/>
                <w:szCs w:val="18"/>
              </w:rPr>
              <w:t>eSIR</w:t>
            </w:r>
            <w:proofErr w:type="spellEnd"/>
            <w:r w:rsidRPr="003C293B">
              <w:rPr>
                <w:bCs/>
                <w:color w:val="000000" w:themeColor="text1"/>
                <w:sz w:val="18"/>
                <w:szCs w:val="18"/>
              </w:rPr>
              <w:t>, SEIR-</w:t>
            </w:r>
            <w:proofErr w:type="spellStart"/>
            <w:r w:rsidRPr="003C293B">
              <w:rPr>
                <w:bCs/>
                <w:color w:val="000000" w:themeColor="text1"/>
                <w:sz w:val="18"/>
                <w:szCs w:val="18"/>
              </w:rPr>
              <w:t>fansy</w:t>
            </w:r>
            <w:proofErr w:type="spellEnd"/>
          </w:p>
        </w:tc>
        <w:tc>
          <w:tcPr>
            <w:tcW w:w="1250" w:type="pct"/>
            <w:vAlign w:val="center"/>
          </w:tcPr>
          <w:p w:rsidR="002A25BF" w:rsidRPr="003C293B" w:rsidRDefault="002A25BF" w:rsidP="0069468E">
            <w:pPr>
              <w:widowControl w:val="0"/>
              <w:jc w:val="center"/>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w:proofErr w:type="spellStart"/>
            <w:r w:rsidRPr="003C293B">
              <w:rPr>
                <w:bCs/>
                <w:color w:val="000000" w:themeColor="text1"/>
                <w:sz w:val="18"/>
                <w:szCs w:val="18"/>
              </w:rPr>
              <w:t>eSIR</w:t>
            </w:r>
            <w:proofErr w:type="spellEnd"/>
            <w:r w:rsidRPr="003C293B">
              <w:rPr>
                <w:bCs/>
                <w:color w:val="000000" w:themeColor="text1"/>
                <w:sz w:val="18"/>
                <w:szCs w:val="18"/>
              </w:rPr>
              <w:t>, SEIR-</w:t>
            </w:r>
            <w:proofErr w:type="spellStart"/>
            <w:r w:rsidRPr="003C293B">
              <w:rPr>
                <w:bCs/>
                <w:color w:val="000000" w:themeColor="text1"/>
                <w:sz w:val="18"/>
                <w:szCs w:val="18"/>
              </w:rPr>
              <w:t>fansy</w:t>
            </w:r>
            <w:proofErr w:type="spellEnd"/>
            <w:r>
              <w:rPr>
                <w:bCs/>
                <w:color w:val="000000" w:themeColor="text1"/>
                <w:sz w:val="18"/>
                <w:szCs w:val="18"/>
              </w:rPr>
              <w:t>, ICM</w:t>
            </w:r>
          </w:p>
        </w:tc>
      </w:tr>
      <w:tr w:rsidR="002A25BF" w:rsidRPr="009D2AAD" w:rsidTr="0069468E">
        <w:trPr>
          <w:cnfStyle w:val="000000100000" w:firstRow="0" w:lastRow="0" w:firstColumn="0" w:lastColumn="0" w:oddVBand="0" w:evenVBand="0" w:oddHBand="1" w:evenHBand="0" w:firstRowFirstColumn="0" w:firstRowLastColumn="0" w:lastRowFirstColumn="0" w:lastRowLastColumn="0"/>
          <w:trHeight w:hRule="exact" w:val="72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2A25BF" w:rsidRPr="009D2AAD" w:rsidRDefault="002A25BF" w:rsidP="0069468E">
            <w:pPr>
              <w:widowControl w:val="0"/>
              <w:jc w:val="center"/>
              <w:rPr>
                <w:bCs w:val="0"/>
                <w:color w:val="000000" w:themeColor="text1"/>
                <w:sz w:val="18"/>
                <w:szCs w:val="18"/>
              </w:rPr>
            </w:pPr>
            <w:r w:rsidRPr="009D2AAD">
              <w:rPr>
                <w:bCs w:val="0"/>
                <w:color w:val="000000" w:themeColor="text1"/>
                <w:sz w:val="18"/>
                <w:szCs w:val="18"/>
              </w:rPr>
              <w:t>Unreported</w:t>
            </w:r>
          </w:p>
        </w:tc>
        <w:tc>
          <w:tcPr>
            <w:tcW w:w="1250" w:type="pct"/>
            <w:vAlign w:val="center"/>
          </w:tcPr>
          <w:p w:rsidR="002A25BF" w:rsidRPr="003C293B" w:rsidRDefault="002A25BF" w:rsidP="0069468E">
            <w:pPr>
              <w:widowControl w:val="0"/>
              <w:jc w:val="center"/>
              <w:cnfStyle w:val="000000100000" w:firstRow="0" w:lastRow="0" w:firstColumn="0" w:lastColumn="0" w:oddVBand="0" w:evenVBand="0" w:oddHBand="1" w:evenHBand="0" w:firstRowFirstColumn="0" w:firstRowLastColumn="0" w:lastRowFirstColumn="0" w:lastRowLastColumn="0"/>
              <w:rPr>
                <w:bCs/>
                <w:color w:val="000000" w:themeColor="text1"/>
                <w:sz w:val="18"/>
                <w:szCs w:val="18"/>
              </w:rPr>
            </w:pPr>
            <w:r w:rsidRPr="003C293B">
              <w:rPr>
                <w:bCs/>
                <w:color w:val="000000" w:themeColor="text1"/>
                <w:sz w:val="18"/>
                <w:szCs w:val="18"/>
              </w:rPr>
              <w:t>SAPHIRE, SEIR-</w:t>
            </w:r>
            <w:proofErr w:type="spellStart"/>
            <w:r w:rsidRPr="003C293B">
              <w:rPr>
                <w:bCs/>
                <w:color w:val="000000" w:themeColor="text1"/>
                <w:sz w:val="18"/>
                <w:szCs w:val="18"/>
              </w:rPr>
              <w:t>fansy</w:t>
            </w:r>
            <w:proofErr w:type="spellEnd"/>
          </w:p>
        </w:tc>
        <w:tc>
          <w:tcPr>
            <w:tcW w:w="1250" w:type="pct"/>
            <w:vAlign w:val="center"/>
          </w:tcPr>
          <w:p w:rsidR="002A25BF" w:rsidRPr="003C293B" w:rsidRDefault="002A25BF" w:rsidP="0069468E">
            <w:pPr>
              <w:widowControl w:val="0"/>
              <w:jc w:val="center"/>
              <w:cnfStyle w:val="000000100000" w:firstRow="0" w:lastRow="0" w:firstColumn="0" w:lastColumn="0" w:oddVBand="0" w:evenVBand="0" w:oddHBand="1" w:evenHBand="0" w:firstRowFirstColumn="0" w:firstRowLastColumn="0" w:lastRowFirstColumn="0" w:lastRowLastColumn="0"/>
              <w:rPr>
                <w:bCs/>
                <w:color w:val="000000" w:themeColor="text1"/>
                <w:sz w:val="18"/>
                <w:szCs w:val="18"/>
              </w:rPr>
            </w:pPr>
            <w:r w:rsidRPr="003C293B">
              <w:rPr>
                <w:bCs/>
                <w:color w:val="000000" w:themeColor="text1"/>
                <w:sz w:val="18"/>
                <w:szCs w:val="18"/>
              </w:rPr>
              <w:t>SEIR-</w:t>
            </w:r>
            <w:proofErr w:type="spellStart"/>
            <w:r w:rsidRPr="003C293B">
              <w:rPr>
                <w:bCs/>
                <w:color w:val="000000" w:themeColor="text1"/>
                <w:sz w:val="18"/>
                <w:szCs w:val="18"/>
              </w:rPr>
              <w:t>fansy</w:t>
            </w:r>
            <w:proofErr w:type="spellEnd"/>
          </w:p>
        </w:tc>
        <w:tc>
          <w:tcPr>
            <w:tcW w:w="1250" w:type="pct"/>
            <w:vAlign w:val="center"/>
          </w:tcPr>
          <w:p w:rsidR="002A25BF" w:rsidRPr="003C293B" w:rsidRDefault="002A25BF" w:rsidP="0069468E">
            <w:pPr>
              <w:widowControl w:val="0"/>
              <w:jc w:val="center"/>
              <w:cnfStyle w:val="000000100000" w:firstRow="0" w:lastRow="0" w:firstColumn="0" w:lastColumn="0" w:oddVBand="0" w:evenVBand="0" w:oddHBand="1" w:evenHBand="0" w:firstRowFirstColumn="0" w:firstRowLastColumn="0" w:lastRowFirstColumn="0" w:lastRowLastColumn="0"/>
              <w:rPr>
                <w:bCs/>
                <w:color w:val="000000" w:themeColor="text1"/>
                <w:sz w:val="18"/>
                <w:szCs w:val="18"/>
              </w:rPr>
            </w:pPr>
            <w:r w:rsidRPr="003C293B">
              <w:rPr>
                <w:bCs/>
                <w:color w:val="000000" w:themeColor="text1"/>
                <w:sz w:val="18"/>
                <w:szCs w:val="18"/>
              </w:rPr>
              <w:t>SEIR-</w:t>
            </w:r>
            <w:proofErr w:type="spellStart"/>
            <w:r w:rsidRPr="003C293B">
              <w:rPr>
                <w:bCs/>
                <w:color w:val="000000" w:themeColor="text1"/>
                <w:sz w:val="18"/>
                <w:szCs w:val="18"/>
              </w:rPr>
              <w:t>fansy</w:t>
            </w:r>
            <w:proofErr w:type="spellEnd"/>
          </w:p>
        </w:tc>
      </w:tr>
      <w:tr w:rsidR="002A25BF" w:rsidRPr="009D2AAD" w:rsidTr="0069468E">
        <w:trPr>
          <w:trHeight w:hRule="exact" w:val="72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2A25BF" w:rsidRPr="009D2AAD" w:rsidRDefault="002A25BF" w:rsidP="0069468E">
            <w:pPr>
              <w:widowControl w:val="0"/>
              <w:jc w:val="center"/>
              <w:rPr>
                <w:bCs w:val="0"/>
                <w:color w:val="000000" w:themeColor="text1"/>
                <w:sz w:val="18"/>
                <w:szCs w:val="18"/>
              </w:rPr>
            </w:pPr>
            <w:r w:rsidRPr="009D2AAD">
              <w:rPr>
                <w:bCs w:val="0"/>
                <w:color w:val="000000" w:themeColor="text1"/>
                <w:sz w:val="18"/>
                <w:szCs w:val="18"/>
              </w:rPr>
              <w:t xml:space="preserve">Total </w:t>
            </w:r>
          </w:p>
          <w:p w:rsidR="002A25BF" w:rsidRPr="009D2AAD" w:rsidRDefault="002A25BF" w:rsidP="0069468E">
            <w:pPr>
              <w:widowControl w:val="0"/>
              <w:jc w:val="center"/>
              <w:rPr>
                <w:bCs w:val="0"/>
                <w:color w:val="000000" w:themeColor="text1"/>
                <w:sz w:val="18"/>
                <w:szCs w:val="18"/>
              </w:rPr>
            </w:pPr>
            <w:r w:rsidRPr="009D2AAD">
              <w:rPr>
                <w:bCs w:val="0"/>
                <w:color w:val="000000" w:themeColor="text1"/>
                <w:sz w:val="18"/>
                <w:szCs w:val="18"/>
              </w:rPr>
              <w:t>(reported + unreported)</w:t>
            </w:r>
          </w:p>
        </w:tc>
        <w:tc>
          <w:tcPr>
            <w:tcW w:w="1250" w:type="pct"/>
            <w:vAlign w:val="center"/>
          </w:tcPr>
          <w:p w:rsidR="002A25BF" w:rsidRPr="003C293B" w:rsidRDefault="002A25BF" w:rsidP="0069468E">
            <w:pPr>
              <w:widowControl w:val="0"/>
              <w:jc w:val="center"/>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w:r w:rsidRPr="003C293B">
              <w:rPr>
                <w:bCs/>
                <w:color w:val="000000" w:themeColor="text1"/>
                <w:sz w:val="18"/>
                <w:szCs w:val="18"/>
              </w:rPr>
              <w:t>SAPHIRE, SEIR-</w:t>
            </w:r>
            <w:proofErr w:type="spellStart"/>
            <w:r w:rsidRPr="003C293B">
              <w:rPr>
                <w:bCs/>
                <w:color w:val="000000" w:themeColor="text1"/>
                <w:sz w:val="18"/>
                <w:szCs w:val="18"/>
              </w:rPr>
              <w:t>fansy</w:t>
            </w:r>
            <w:proofErr w:type="spellEnd"/>
            <w:r>
              <w:rPr>
                <w:bCs/>
                <w:color w:val="000000" w:themeColor="text1"/>
                <w:sz w:val="18"/>
                <w:szCs w:val="18"/>
              </w:rPr>
              <w:t>, ICM</w:t>
            </w:r>
          </w:p>
        </w:tc>
        <w:tc>
          <w:tcPr>
            <w:tcW w:w="1250" w:type="pct"/>
            <w:vAlign w:val="center"/>
          </w:tcPr>
          <w:p w:rsidR="002A25BF" w:rsidRPr="003C293B" w:rsidRDefault="002A25BF" w:rsidP="0069468E">
            <w:pPr>
              <w:widowControl w:val="0"/>
              <w:jc w:val="center"/>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w:r w:rsidRPr="003C293B">
              <w:rPr>
                <w:bCs/>
                <w:color w:val="000000" w:themeColor="text1"/>
                <w:sz w:val="18"/>
                <w:szCs w:val="18"/>
              </w:rPr>
              <w:t>SEIR-</w:t>
            </w:r>
            <w:proofErr w:type="spellStart"/>
            <w:r w:rsidRPr="003C293B">
              <w:rPr>
                <w:bCs/>
                <w:color w:val="000000" w:themeColor="text1"/>
                <w:sz w:val="18"/>
                <w:szCs w:val="18"/>
              </w:rPr>
              <w:t>fansy</w:t>
            </w:r>
            <w:proofErr w:type="spellEnd"/>
          </w:p>
        </w:tc>
        <w:tc>
          <w:tcPr>
            <w:tcW w:w="1250" w:type="pct"/>
            <w:vAlign w:val="center"/>
          </w:tcPr>
          <w:p w:rsidR="002A25BF" w:rsidRPr="003C293B" w:rsidRDefault="002A25BF" w:rsidP="0069468E">
            <w:pPr>
              <w:widowControl w:val="0"/>
              <w:jc w:val="center"/>
              <w:cnfStyle w:val="000000000000" w:firstRow="0" w:lastRow="0" w:firstColumn="0" w:lastColumn="0" w:oddVBand="0" w:evenVBand="0" w:oddHBand="0" w:evenHBand="0" w:firstRowFirstColumn="0" w:firstRowLastColumn="0" w:lastRowFirstColumn="0" w:lastRowLastColumn="0"/>
              <w:rPr>
                <w:bCs/>
                <w:color w:val="000000" w:themeColor="text1"/>
                <w:sz w:val="18"/>
                <w:szCs w:val="18"/>
              </w:rPr>
            </w:pPr>
            <w:r w:rsidRPr="003C293B">
              <w:rPr>
                <w:bCs/>
                <w:color w:val="000000" w:themeColor="text1"/>
                <w:sz w:val="18"/>
                <w:szCs w:val="18"/>
              </w:rPr>
              <w:t>SEIR-</w:t>
            </w:r>
            <w:proofErr w:type="spellStart"/>
            <w:r w:rsidRPr="003C293B">
              <w:rPr>
                <w:bCs/>
                <w:color w:val="000000" w:themeColor="text1"/>
                <w:sz w:val="18"/>
                <w:szCs w:val="18"/>
              </w:rPr>
              <w:t>fansy</w:t>
            </w:r>
            <w:proofErr w:type="spellEnd"/>
          </w:p>
        </w:tc>
      </w:tr>
    </w:tbl>
    <w:p w:rsidR="002A25BF" w:rsidRPr="004C371A" w:rsidRDefault="002A25BF" w:rsidP="002A25BF">
      <w:pPr>
        <w:pStyle w:val="Caption"/>
        <w:widowControl w:val="0"/>
        <w:suppressLineNumbers w:val="0"/>
        <w:rPr>
          <w:sz w:val="20"/>
          <w:szCs w:val="20"/>
        </w:rPr>
      </w:pPr>
    </w:p>
    <w:p w:rsidR="002A25BF" w:rsidRDefault="002A25BF" w:rsidP="002A25BF">
      <w:pPr>
        <w:pStyle w:val="Caption"/>
        <w:widowControl w:val="0"/>
        <w:suppressLineNumbers w:val="0"/>
        <w:rPr>
          <w:sz w:val="20"/>
          <w:szCs w:val="20"/>
        </w:rPr>
      </w:pPr>
    </w:p>
    <w:p w:rsidR="002A25BF" w:rsidRDefault="002A25BF" w:rsidP="002A25BF">
      <w:pPr>
        <w:pStyle w:val="Caption"/>
        <w:widowControl w:val="0"/>
        <w:suppressLineNumbers w:val="0"/>
        <w:rPr>
          <w:sz w:val="20"/>
          <w:szCs w:val="20"/>
        </w:rPr>
      </w:pPr>
    </w:p>
    <w:p w:rsidR="002A25BF" w:rsidRDefault="002A25BF" w:rsidP="002A25BF">
      <w:pPr>
        <w:pStyle w:val="Caption"/>
        <w:widowControl w:val="0"/>
        <w:suppressLineNumbers w:val="0"/>
        <w:rPr>
          <w:sz w:val="20"/>
          <w:szCs w:val="20"/>
        </w:rPr>
      </w:pPr>
    </w:p>
    <w:p w:rsidR="002A25BF" w:rsidRDefault="002A25BF" w:rsidP="002A25BF">
      <w:pPr>
        <w:pStyle w:val="Caption"/>
        <w:widowControl w:val="0"/>
        <w:suppressLineNumbers w:val="0"/>
        <w:rPr>
          <w:sz w:val="20"/>
          <w:szCs w:val="20"/>
        </w:rPr>
      </w:pPr>
    </w:p>
    <w:p w:rsidR="002A25BF" w:rsidRDefault="002A25BF" w:rsidP="002A25BF">
      <w:pPr>
        <w:pStyle w:val="Caption"/>
        <w:widowControl w:val="0"/>
        <w:suppressLineNumbers w:val="0"/>
        <w:rPr>
          <w:sz w:val="20"/>
          <w:szCs w:val="20"/>
        </w:rPr>
      </w:pPr>
    </w:p>
    <w:p w:rsidR="002A25BF" w:rsidRDefault="002A25BF" w:rsidP="002A25BF">
      <w:pPr>
        <w:pStyle w:val="Caption"/>
        <w:widowControl w:val="0"/>
        <w:suppressLineNumbers w:val="0"/>
        <w:rPr>
          <w:sz w:val="20"/>
          <w:szCs w:val="20"/>
        </w:rPr>
      </w:pPr>
    </w:p>
    <w:p w:rsidR="002A25BF" w:rsidRDefault="002A25BF" w:rsidP="002A25BF">
      <w:pPr>
        <w:pStyle w:val="Caption"/>
        <w:widowControl w:val="0"/>
        <w:suppressLineNumbers w:val="0"/>
        <w:rPr>
          <w:sz w:val="20"/>
          <w:szCs w:val="20"/>
        </w:rPr>
      </w:pPr>
    </w:p>
    <w:p w:rsidR="002A25BF" w:rsidRDefault="002A25BF" w:rsidP="002A25BF">
      <w:pPr>
        <w:pStyle w:val="Caption"/>
        <w:widowControl w:val="0"/>
        <w:suppressLineNumbers w:val="0"/>
        <w:rPr>
          <w:sz w:val="20"/>
          <w:szCs w:val="20"/>
        </w:rPr>
      </w:pPr>
    </w:p>
    <w:p w:rsidR="002A25BF" w:rsidRDefault="002A25BF" w:rsidP="002A25BF">
      <w:pPr>
        <w:pStyle w:val="Caption"/>
        <w:widowControl w:val="0"/>
        <w:suppressLineNumbers w:val="0"/>
        <w:rPr>
          <w:sz w:val="20"/>
          <w:szCs w:val="20"/>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3"/>
        <w:gridCol w:w="1654"/>
        <w:gridCol w:w="1945"/>
        <w:gridCol w:w="2080"/>
        <w:gridCol w:w="2021"/>
        <w:gridCol w:w="2156"/>
      </w:tblGrid>
      <w:tr w:rsidR="002A25BF" w:rsidRPr="00BB04C4" w:rsidTr="0069468E">
        <w:trPr>
          <w:jc w:val="center"/>
        </w:trPr>
        <w:tc>
          <w:tcPr>
            <w:tcW w:w="5000" w:type="pct"/>
            <w:gridSpan w:val="6"/>
          </w:tcPr>
          <w:p w:rsidR="002A25BF" w:rsidRPr="00BB04C4" w:rsidRDefault="002A25BF" w:rsidP="0069468E">
            <w:pPr>
              <w:widowControl w:val="0"/>
              <w:rPr>
                <w:b/>
                <w:color w:val="000000"/>
                <w:sz w:val="20"/>
                <w:szCs w:val="20"/>
              </w:rPr>
            </w:pPr>
            <w:r w:rsidRPr="00DE064E">
              <w:rPr>
                <w:b/>
                <w:i/>
                <w:iCs/>
                <w:color w:val="000000"/>
                <w:sz w:val="20"/>
                <w:szCs w:val="20"/>
              </w:rPr>
              <w:t>Supplementary Table S3</w:t>
            </w:r>
            <w:r>
              <w:rPr>
                <w:b/>
                <w:i/>
                <w:iCs/>
                <w:color w:val="000000"/>
                <w:sz w:val="20"/>
                <w:szCs w:val="20"/>
              </w:rPr>
              <w:t>:</w:t>
            </w:r>
            <w:r w:rsidRPr="00DE064E">
              <w:rPr>
                <w:bCs/>
                <w:i/>
                <w:iCs/>
                <w:color w:val="000000"/>
                <w:sz w:val="20"/>
                <w:szCs w:val="20"/>
              </w:rPr>
              <w:t xml:space="preserve"> Comparison of estimated projections and posterior estimates of model parameters across different sensitivity analysis scenarios under 21-day lockdown with moderate return, using observed data till April 14. Prior SD for R</w:t>
            </w:r>
            <w:r w:rsidRPr="00DE064E">
              <w:rPr>
                <w:bCs/>
                <w:i/>
                <w:iCs/>
                <w:color w:val="000000"/>
                <w:sz w:val="20"/>
                <w:szCs w:val="20"/>
                <w:vertAlign w:val="subscript"/>
              </w:rPr>
              <w:t>0</w:t>
            </w:r>
            <w:r w:rsidRPr="00DE064E">
              <w:rPr>
                <w:bCs/>
                <w:i/>
                <w:iCs/>
                <w:color w:val="000000"/>
                <w:sz w:val="20"/>
                <w:szCs w:val="20"/>
              </w:rPr>
              <w:t xml:space="preserve"> is 1.0. Reproduced from Ray et al., 2020</w:t>
            </w:r>
            <w:r>
              <w:rPr>
                <w:bCs/>
                <w:i/>
                <w:iCs/>
                <w:color w:val="000000"/>
                <w:sz w:val="20"/>
                <w:szCs w:val="20"/>
              </w:rPr>
              <w:t xml:space="preserve"> </w:t>
            </w:r>
            <w:r>
              <w:rPr>
                <w:bCs/>
                <w:i/>
                <w:iCs/>
                <w:color w:val="000000"/>
                <w:sz w:val="20"/>
                <w:szCs w:val="20"/>
              </w:rPr>
              <w:fldChar w:fldCharType="begin"/>
            </w:r>
            <w:r>
              <w:rPr>
                <w:bCs/>
                <w:i/>
                <w:iCs/>
                <w:color w:val="000000"/>
                <w:sz w:val="20"/>
                <w:szCs w:val="20"/>
              </w:rPr>
              <w:instrText xml:space="preserve"> ADDIN ZOTERO_ITEM CSL_CITATION {"citationID":"V8er7C0M","properties":{"formattedCitation":"(51)","plainCitation":"(51)","noteIndex":0},"citationItems":[{"id":21,"uris":["http://zotero.org/users/6647948/items/KW8S5ZEI"],"uri":["http://zotero.org/users/6647948/items/KW8S5ZEI"],"itemData":{"id":21,"type":"article-journal","container-title":"Harvard Data Science Review","title":"Predictions, Role of Interventions and Effects of a Historic National Lockdown in India's Response to the the COVID-19 Pandemic: Data Science Call to Arms","URL":"https://hdsr.mitpress.mit.edu/pub/r1qq01kw","author":[{"family":"Ray","given":"Debashree"},{"family":"Salvatore","given":"Maxwell"},{"family":"Bhattacharyya","given":"Rupam"},{"family":"Wang","given":"Lili"},{"family":"Du","given":"Jiacong"},{"family":"Mohammed","given":"Shariq"},{"family":"Purkayastha","given":"Soumik"},{"family":"Halder","given":"Aritra"},{"family":"Rix","given":"Alexander"},{"family":"Barker","given":"Daniel"},{"family":"Kleinsasser","given":"Michael"},{"family":"Zhou","given":"Yiwang"},{"family":"Bose","given":"Debraj"},{"family":"Song","given":"Peter"},{"family":"Banerjee","given":"Mousumi"},{"family":"Baladandayuthapani","given":"Veerabhadran"},{"family":"Ghosh","given":"Parikshit"},{"family":"Mukherjee","given":"Bhramar"}],"issued":{"date-parts":[["2020"]],"season":"05-14"}}}],"schema":"https://github.com/citation-style-language/schema/raw/master/csl-citation.json"} </w:instrText>
            </w:r>
            <w:r>
              <w:rPr>
                <w:bCs/>
                <w:i/>
                <w:iCs/>
                <w:color w:val="000000"/>
                <w:sz w:val="20"/>
                <w:szCs w:val="20"/>
              </w:rPr>
              <w:fldChar w:fldCharType="separate"/>
            </w:r>
            <w:r>
              <w:rPr>
                <w:bCs/>
                <w:i/>
                <w:iCs/>
                <w:noProof/>
                <w:color w:val="000000"/>
                <w:sz w:val="20"/>
                <w:szCs w:val="20"/>
              </w:rPr>
              <w:t>(51)</w:t>
            </w:r>
            <w:r>
              <w:rPr>
                <w:bCs/>
                <w:i/>
                <w:iCs/>
                <w:color w:val="000000"/>
                <w:sz w:val="20"/>
                <w:szCs w:val="20"/>
              </w:rPr>
              <w:fldChar w:fldCharType="end"/>
            </w:r>
            <w:r>
              <w:rPr>
                <w:bCs/>
                <w:i/>
                <w:iCs/>
                <w:color w:val="000000"/>
                <w:sz w:val="20"/>
                <w:szCs w:val="20"/>
              </w:rPr>
              <w:t>.</w:t>
            </w:r>
          </w:p>
        </w:tc>
      </w:tr>
      <w:tr w:rsidR="002A25BF" w:rsidRPr="00BB04C4" w:rsidTr="0069468E">
        <w:trPr>
          <w:jc w:val="center"/>
        </w:trPr>
        <w:tc>
          <w:tcPr>
            <w:tcW w:w="1275" w:type="pct"/>
            <w:tcBorders>
              <w:top w:val="single" w:sz="4" w:space="0" w:color="auto"/>
            </w:tcBorders>
          </w:tcPr>
          <w:p w:rsidR="002A25BF" w:rsidRPr="00BB04C4" w:rsidRDefault="002A25BF" w:rsidP="0069468E">
            <w:pPr>
              <w:widowControl w:val="0"/>
              <w:rPr>
                <w:b/>
                <w:color w:val="000000"/>
                <w:sz w:val="20"/>
                <w:szCs w:val="20"/>
              </w:rPr>
            </w:pPr>
            <w:r w:rsidRPr="00BB04C4">
              <w:rPr>
                <w:b/>
                <w:color w:val="000000"/>
                <w:sz w:val="20"/>
                <w:szCs w:val="20"/>
              </w:rPr>
              <w:t>Sensitivity Analysis</w:t>
            </w:r>
          </w:p>
        </w:tc>
        <w:tc>
          <w:tcPr>
            <w:tcW w:w="625" w:type="pct"/>
            <w:tcBorders>
              <w:top w:val="single" w:sz="4" w:space="0" w:color="auto"/>
            </w:tcBorders>
            <w:vAlign w:val="bottom"/>
          </w:tcPr>
          <w:p w:rsidR="002A25BF" w:rsidRPr="00BB04C4" w:rsidRDefault="002A25BF" w:rsidP="0069468E">
            <w:pPr>
              <w:widowControl w:val="0"/>
              <w:jc w:val="center"/>
              <w:rPr>
                <w:b/>
                <w:color w:val="000000"/>
                <w:sz w:val="20"/>
                <w:szCs w:val="20"/>
              </w:rPr>
            </w:pPr>
          </w:p>
        </w:tc>
        <w:tc>
          <w:tcPr>
            <w:tcW w:w="735" w:type="pct"/>
            <w:tcBorders>
              <w:top w:val="single" w:sz="4" w:space="0" w:color="auto"/>
            </w:tcBorders>
            <w:vAlign w:val="bottom"/>
          </w:tcPr>
          <w:p w:rsidR="002A25BF" w:rsidRPr="00BB04C4" w:rsidRDefault="002A25BF" w:rsidP="0069468E">
            <w:pPr>
              <w:widowControl w:val="0"/>
              <w:rPr>
                <w:b/>
                <w:color w:val="000000"/>
                <w:sz w:val="20"/>
                <w:szCs w:val="20"/>
              </w:rPr>
            </w:pPr>
            <w:r w:rsidRPr="00BB04C4">
              <w:rPr>
                <w:b/>
                <w:color w:val="000000"/>
                <w:sz w:val="20"/>
                <w:szCs w:val="20"/>
              </w:rPr>
              <w:t xml:space="preserve">Predictions   </w:t>
            </w:r>
          </w:p>
        </w:tc>
        <w:tc>
          <w:tcPr>
            <w:tcW w:w="2365" w:type="pct"/>
            <w:gridSpan w:val="3"/>
            <w:tcBorders>
              <w:top w:val="single" w:sz="4" w:space="0" w:color="auto"/>
              <w:bottom w:val="single" w:sz="4" w:space="0" w:color="auto"/>
            </w:tcBorders>
            <w:vAlign w:val="bottom"/>
          </w:tcPr>
          <w:p w:rsidR="002A25BF" w:rsidRPr="00BB04C4" w:rsidRDefault="002A25BF" w:rsidP="0069468E">
            <w:pPr>
              <w:widowControl w:val="0"/>
              <w:jc w:val="center"/>
              <w:rPr>
                <w:b/>
                <w:color w:val="000000"/>
                <w:sz w:val="20"/>
                <w:szCs w:val="20"/>
              </w:rPr>
            </w:pPr>
            <w:r w:rsidRPr="00BB04C4">
              <w:rPr>
                <w:b/>
                <w:color w:val="000000"/>
                <w:sz w:val="20"/>
                <w:szCs w:val="20"/>
              </w:rPr>
              <w:t>Posterior Estimates</w:t>
            </w:r>
          </w:p>
        </w:tc>
      </w:tr>
      <w:tr w:rsidR="002A25BF" w:rsidRPr="00BB04C4" w:rsidTr="0069468E">
        <w:trPr>
          <w:jc w:val="center"/>
        </w:trPr>
        <w:tc>
          <w:tcPr>
            <w:tcW w:w="1275" w:type="pct"/>
            <w:tcBorders>
              <w:bottom w:val="single" w:sz="4" w:space="0" w:color="auto"/>
            </w:tcBorders>
            <w:vAlign w:val="bottom"/>
          </w:tcPr>
          <w:p w:rsidR="002A25BF" w:rsidRPr="00BB04C4" w:rsidRDefault="002A25BF" w:rsidP="0069468E">
            <w:pPr>
              <w:widowControl w:val="0"/>
              <w:rPr>
                <w:b/>
                <w:color w:val="000000"/>
                <w:sz w:val="20"/>
                <w:szCs w:val="20"/>
              </w:rPr>
            </w:pPr>
            <w:r w:rsidRPr="00BB04C4">
              <w:rPr>
                <w:b/>
                <w:color w:val="000000"/>
                <w:sz w:val="20"/>
                <w:szCs w:val="20"/>
              </w:rPr>
              <w:t>Scenario</w:t>
            </w:r>
          </w:p>
        </w:tc>
        <w:tc>
          <w:tcPr>
            <w:tcW w:w="625" w:type="pct"/>
            <w:tcBorders>
              <w:bottom w:val="single" w:sz="4" w:space="0" w:color="auto"/>
            </w:tcBorders>
            <w:vAlign w:val="bottom"/>
          </w:tcPr>
          <w:p w:rsidR="002A25BF" w:rsidRPr="00BB04C4" w:rsidRDefault="002A25BF" w:rsidP="0069468E">
            <w:pPr>
              <w:widowControl w:val="0"/>
              <w:jc w:val="center"/>
              <w:rPr>
                <w:b/>
                <w:color w:val="000000"/>
                <w:sz w:val="20"/>
                <w:szCs w:val="20"/>
              </w:rPr>
            </w:pPr>
            <w:r w:rsidRPr="00BB04C4">
              <w:rPr>
                <w:b/>
                <w:color w:val="000000"/>
                <w:sz w:val="20"/>
                <w:szCs w:val="20"/>
              </w:rPr>
              <w:t>May 1</w:t>
            </w:r>
          </w:p>
        </w:tc>
        <w:tc>
          <w:tcPr>
            <w:tcW w:w="735" w:type="pct"/>
            <w:tcBorders>
              <w:bottom w:val="single" w:sz="4" w:space="0" w:color="auto"/>
            </w:tcBorders>
            <w:vAlign w:val="bottom"/>
          </w:tcPr>
          <w:p w:rsidR="002A25BF" w:rsidRPr="00BB04C4" w:rsidRDefault="002A25BF" w:rsidP="0069468E">
            <w:pPr>
              <w:widowControl w:val="0"/>
              <w:jc w:val="center"/>
              <w:rPr>
                <w:b/>
                <w:color w:val="000000"/>
                <w:sz w:val="20"/>
                <w:szCs w:val="20"/>
              </w:rPr>
            </w:pPr>
            <w:r w:rsidRPr="00BB04C4">
              <w:rPr>
                <w:b/>
                <w:color w:val="000000"/>
                <w:sz w:val="20"/>
                <w:szCs w:val="20"/>
              </w:rPr>
              <w:t>May 15</w:t>
            </w:r>
          </w:p>
        </w:tc>
        <w:tc>
          <w:tcPr>
            <w:tcW w:w="786" w:type="pct"/>
            <w:tcBorders>
              <w:top w:val="single" w:sz="4" w:space="0" w:color="auto"/>
              <w:bottom w:val="single" w:sz="4" w:space="0" w:color="auto"/>
            </w:tcBorders>
            <w:vAlign w:val="bottom"/>
          </w:tcPr>
          <w:p w:rsidR="002A25BF" w:rsidRPr="00BB04C4" w:rsidRDefault="002A25BF" w:rsidP="0069468E">
            <w:pPr>
              <w:widowControl w:val="0"/>
              <w:rPr>
                <w:b/>
                <w:color w:val="000000"/>
                <w:sz w:val="20"/>
                <w:szCs w:val="20"/>
              </w:rPr>
            </w:pPr>
            <m:oMathPara>
              <m:oMath>
                <m:sSub>
                  <m:sSubPr>
                    <m:ctrlPr>
                      <w:rPr>
                        <w:rFonts w:ascii="Cambria Math" w:hAnsi="Cambria Math"/>
                        <w:b/>
                        <w:i/>
                        <w:color w:val="000000"/>
                        <w:sz w:val="20"/>
                        <w:szCs w:val="20"/>
                      </w:rPr>
                    </m:ctrlPr>
                  </m:sSubPr>
                  <m:e>
                    <m:r>
                      <m:rPr>
                        <m:sty m:val="bi"/>
                      </m:rPr>
                      <w:rPr>
                        <w:rFonts w:ascii="Cambria Math" w:hAnsi="Cambria Math"/>
                        <w:color w:val="000000"/>
                        <w:sz w:val="20"/>
                        <w:szCs w:val="20"/>
                      </w:rPr>
                      <m:t>R</m:t>
                    </m:r>
                  </m:e>
                  <m:sub>
                    <m:r>
                      <m:rPr>
                        <m:sty m:val="bi"/>
                      </m:rPr>
                      <w:rPr>
                        <w:rFonts w:ascii="Cambria Math" w:hAnsi="Cambria Math"/>
                        <w:color w:val="000000"/>
                        <w:sz w:val="20"/>
                        <w:szCs w:val="20"/>
                      </w:rPr>
                      <m:t>0</m:t>
                    </m:r>
                  </m:sub>
                </m:sSub>
              </m:oMath>
            </m:oMathPara>
          </w:p>
        </w:tc>
        <w:tc>
          <w:tcPr>
            <w:tcW w:w="764" w:type="pct"/>
            <w:tcBorders>
              <w:top w:val="single" w:sz="4" w:space="0" w:color="auto"/>
              <w:bottom w:val="single" w:sz="4" w:space="0" w:color="auto"/>
            </w:tcBorders>
            <w:vAlign w:val="bottom"/>
          </w:tcPr>
          <w:p w:rsidR="002A25BF" w:rsidRPr="00BB04C4" w:rsidRDefault="002A25BF" w:rsidP="0069468E">
            <w:pPr>
              <w:widowControl w:val="0"/>
              <w:jc w:val="center"/>
              <w:rPr>
                <w:b/>
                <w:color w:val="000000"/>
                <w:sz w:val="20"/>
                <w:szCs w:val="20"/>
              </w:rPr>
            </w:pPr>
            <m:oMathPara>
              <m:oMath>
                <m:r>
                  <m:rPr>
                    <m:sty m:val="bi"/>
                  </m:rPr>
                  <w:rPr>
                    <w:rFonts w:ascii="Cambria Math" w:hAnsi="Cambria Math"/>
                    <w:color w:val="000000"/>
                    <w:sz w:val="20"/>
                    <w:szCs w:val="20"/>
                  </w:rPr>
                  <m:t>β</m:t>
                </m:r>
              </m:oMath>
            </m:oMathPara>
          </w:p>
        </w:tc>
        <w:tc>
          <w:tcPr>
            <w:tcW w:w="816" w:type="pct"/>
            <w:tcBorders>
              <w:top w:val="single" w:sz="4" w:space="0" w:color="auto"/>
              <w:bottom w:val="single" w:sz="4" w:space="0" w:color="auto"/>
            </w:tcBorders>
            <w:vAlign w:val="bottom"/>
          </w:tcPr>
          <w:p w:rsidR="002A25BF" w:rsidRPr="00BB04C4" w:rsidRDefault="002A25BF" w:rsidP="0069468E">
            <w:pPr>
              <w:widowControl w:val="0"/>
              <w:jc w:val="center"/>
              <w:rPr>
                <w:b/>
                <w:color w:val="000000"/>
                <w:sz w:val="20"/>
                <w:szCs w:val="20"/>
              </w:rPr>
            </w:pPr>
            <m:oMathPara>
              <m:oMath>
                <m:r>
                  <m:rPr>
                    <m:sty m:val="bi"/>
                  </m:rPr>
                  <w:rPr>
                    <w:rFonts w:ascii="Cambria Math" w:hAnsi="Cambria Math"/>
                    <w:color w:val="000000"/>
                    <w:sz w:val="20"/>
                    <w:szCs w:val="20"/>
                  </w:rPr>
                  <m:t>γ</m:t>
                </m:r>
              </m:oMath>
            </m:oMathPara>
          </w:p>
        </w:tc>
      </w:tr>
      <w:tr w:rsidR="002A25BF" w:rsidRPr="00BB04C4" w:rsidTr="0069468E">
        <w:trPr>
          <w:trHeight w:val="576"/>
          <w:jc w:val="center"/>
        </w:trPr>
        <w:tc>
          <w:tcPr>
            <w:tcW w:w="1275" w:type="pct"/>
            <w:tcBorders>
              <w:top w:val="single" w:sz="4" w:space="0" w:color="auto"/>
            </w:tcBorders>
            <w:shd w:val="clear" w:color="auto" w:fill="D9D9D9"/>
            <w:vAlign w:val="center"/>
          </w:tcPr>
          <w:p w:rsidR="002A25BF" w:rsidRPr="00BB04C4" w:rsidRDefault="002A25BF" w:rsidP="0069468E">
            <w:pPr>
              <w:widowControl w:val="0"/>
              <w:rPr>
                <w:bCs/>
                <w:color w:val="000000"/>
                <w:sz w:val="20"/>
                <w:szCs w:val="20"/>
              </w:rPr>
            </w:pPr>
            <w:r w:rsidRPr="00BB04C4">
              <w:rPr>
                <w:bCs/>
                <w:color w:val="000000"/>
                <w:sz w:val="20"/>
                <w:szCs w:val="20"/>
              </w:rPr>
              <w:lastRenderedPageBreak/>
              <w:t>Under-reporting*</w:t>
            </w:r>
          </w:p>
        </w:tc>
        <w:tc>
          <w:tcPr>
            <w:tcW w:w="625" w:type="pct"/>
            <w:tcBorders>
              <w:top w:val="single" w:sz="4" w:space="0" w:color="auto"/>
            </w:tcBorders>
            <w:shd w:val="clear" w:color="auto" w:fill="D9D9D9"/>
            <w:vAlign w:val="center"/>
          </w:tcPr>
          <w:p w:rsidR="002A25BF" w:rsidRPr="00BB04C4" w:rsidRDefault="002A25BF" w:rsidP="0069468E">
            <w:pPr>
              <w:widowControl w:val="0"/>
              <w:jc w:val="center"/>
              <w:rPr>
                <w:bCs/>
                <w:color w:val="000000"/>
                <w:sz w:val="20"/>
                <w:szCs w:val="20"/>
              </w:rPr>
            </w:pPr>
            <w:r w:rsidRPr="00BB04C4">
              <w:rPr>
                <w:bCs/>
                <w:color w:val="000000"/>
                <w:sz w:val="20"/>
                <w:szCs w:val="20"/>
              </w:rPr>
              <w:t>25,248</w:t>
            </w:r>
          </w:p>
          <w:p w:rsidR="002A25BF" w:rsidRPr="00BB04C4" w:rsidRDefault="002A25BF" w:rsidP="0069468E">
            <w:pPr>
              <w:widowControl w:val="0"/>
              <w:jc w:val="center"/>
              <w:rPr>
                <w:bCs/>
                <w:color w:val="000000"/>
                <w:sz w:val="20"/>
                <w:szCs w:val="20"/>
              </w:rPr>
            </w:pPr>
            <w:r w:rsidRPr="00BB04C4">
              <w:rPr>
                <w:bCs/>
                <w:color w:val="000000"/>
                <w:sz w:val="20"/>
                <w:szCs w:val="20"/>
              </w:rPr>
              <w:t>[104,411]</w:t>
            </w:r>
          </w:p>
        </w:tc>
        <w:tc>
          <w:tcPr>
            <w:tcW w:w="735" w:type="pct"/>
            <w:tcBorders>
              <w:top w:val="single" w:sz="4" w:space="0" w:color="auto"/>
            </w:tcBorders>
            <w:shd w:val="clear" w:color="auto" w:fill="D9D9D9"/>
            <w:vAlign w:val="center"/>
          </w:tcPr>
          <w:p w:rsidR="002A25BF" w:rsidRPr="00BB04C4" w:rsidRDefault="002A25BF" w:rsidP="0069468E">
            <w:pPr>
              <w:widowControl w:val="0"/>
              <w:jc w:val="center"/>
              <w:rPr>
                <w:bCs/>
                <w:color w:val="000000"/>
                <w:sz w:val="20"/>
                <w:szCs w:val="20"/>
              </w:rPr>
            </w:pPr>
            <w:r w:rsidRPr="00BB04C4">
              <w:rPr>
                <w:bCs/>
                <w:color w:val="000000"/>
                <w:sz w:val="20"/>
                <w:szCs w:val="20"/>
              </w:rPr>
              <w:t>62,797</w:t>
            </w:r>
          </w:p>
          <w:p w:rsidR="002A25BF" w:rsidRPr="00BB04C4" w:rsidRDefault="002A25BF" w:rsidP="0069468E">
            <w:pPr>
              <w:widowControl w:val="0"/>
              <w:jc w:val="center"/>
              <w:rPr>
                <w:bCs/>
                <w:color w:val="000000"/>
                <w:sz w:val="20"/>
                <w:szCs w:val="20"/>
              </w:rPr>
            </w:pPr>
            <w:r w:rsidRPr="00BB04C4">
              <w:rPr>
                <w:bCs/>
                <w:color w:val="000000"/>
                <w:sz w:val="20"/>
                <w:szCs w:val="20"/>
              </w:rPr>
              <w:t>[343,465]</w:t>
            </w:r>
          </w:p>
        </w:tc>
        <w:tc>
          <w:tcPr>
            <w:tcW w:w="786" w:type="pct"/>
            <w:tcBorders>
              <w:top w:val="single" w:sz="4" w:space="0" w:color="auto"/>
            </w:tcBorders>
            <w:shd w:val="clear" w:color="auto" w:fill="D9D9D9"/>
            <w:vAlign w:val="center"/>
          </w:tcPr>
          <w:p w:rsidR="002A25BF" w:rsidRPr="00BB04C4" w:rsidRDefault="002A25BF" w:rsidP="0069468E">
            <w:pPr>
              <w:widowControl w:val="0"/>
              <w:jc w:val="center"/>
              <w:rPr>
                <w:bCs/>
                <w:color w:val="000000"/>
                <w:sz w:val="20"/>
                <w:szCs w:val="20"/>
              </w:rPr>
            </w:pPr>
            <w:r w:rsidRPr="00BB04C4">
              <w:rPr>
                <w:bCs/>
                <w:color w:val="000000"/>
                <w:sz w:val="20"/>
                <w:szCs w:val="20"/>
              </w:rPr>
              <w:t>2.28</w:t>
            </w:r>
          </w:p>
          <w:p w:rsidR="002A25BF" w:rsidRPr="00BB04C4" w:rsidRDefault="002A25BF" w:rsidP="0069468E">
            <w:pPr>
              <w:widowControl w:val="0"/>
              <w:jc w:val="center"/>
              <w:rPr>
                <w:bCs/>
                <w:color w:val="000000"/>
                <w:sz w:val="20"/>
                <w:szCs w:val="20"/>
              </w:rPr>
            </w:pPr>
            <w:r w:rsidRPr="00BB04C4">
              <w:rPr>
                <w:bCs/>
                <w:color w:val="000000"/>
                <w:sz w:val="20"/>
                <w:szCs w:val="20"/>
              </w:rPr>
              <w:t>[1.05, 4.20]</w:t>
            </w:r>
          </w:p>
        </w:tc>
        <w:tc>
          <w:tcPr>
            <w:tcW w:w="764" w:type="pct"/>
            <w:tcBorders>
              <w:top w:val="single" w:sz="4" w:space="0" w:color="auto"/>
            </w:tcBorders>
            <w:shd w:val="clear" w:color="auto" w:fill="D9D9D9"/>
            <w:vAlign w:val="center"/>
          </w:tcPr>
          <w:p w:rsidR="002A25BF" w:rsidRPr="00BB04C4" w:rsidRDefault="002A25BF" w:rsidP="0069468E">
            <w:pPr>
              <w:widowControl w:val="0"/>
              <w:jc w:val="center"/>
              <w:rPr>
                <w:bCs/>
                <w:color w:val="000000"/>
                <w:sz w:val="20"/>
                <w:szCs w:val="20"/>
              </w:rPr>
            </w:pPr>
            <w:r w:rsidRPr="00BB04C4">
              <w:rPr>
                <w:bCs/>
                <w:color w:val="000000"/>
                <w:sz w:val="20"/>
                <w:szCs w:val="20"/>
              </w:rPr>
              <w:t>0.20</w:t>
            </w:r>
          </w:p>
          <w:p w:rsidR="002A25BF" w:rsidRPr="00BB04C4" w:rsidRDefault="002A25BF" w:rsidP="0069468E">
            <w:pPr>
              <w:widowControl w:val="0"/>
              <w:jc w:val="center"/>
              <w:rPr>
                <w:bCs/>
                <w:color w:val="000000"/>
                <w:sz w:val="20"/>
                <w:szCs w:val="20"/>
              </w:rPr>
            </w:pPr>
            <w:r w:rsidRPr="00BB04C4">
              <w:rPr>
                <w:bCs/>
                <w:color w:val="000000"/>
                <w:sz w:val="20"/>
                <w:szCs w:val="20"/>
              </w:rPr>
              <w:t>[0.05, 0.39]</w:t>
            </w:r>
          </w:p>
        </w:tc>
        <w:tc>
          <w:tcPr>
            <w:tcW w:w="816" w:type="pct"/>
            <w:tcBorders>
              <w:top w:val="single" w:sz="4" w:space="0" w:color="auto"/>
            </w:tcBorders>
            <w:shd w:val="clear" w:color="auto" w:fill="D9D9D9"/>
            <w:vAlign w:val="center"/>
          </w:tcPr>
          <w:p w:rsidR="002A25BF" w:rsidRPr="00BB04C4" w:rsidRDefault="002A25BF" w:rsidP="0069468E">
            <w:pPr>
              <w:widowControl w:val="0"/>
              <w:jc w:val="center"/>
              <w:rPr>
                <w:bCs/>
                <w:color w:val="000000"/>
                <w:sz w:val="20"/>
                <w:szCs w:val="20"/>
              </w:rPr>
            </w:pPr>
            <w:r w:rsidRPr="00BB04C4">
              <w:rPr>
                <w:bCs/>
                <w:color w:val="000000"/>
                <w:sz w:val="20"/>
                <w:szCs w:val="20"/>
              </w:rPr>
              <w:t>0.09</w:t>
            </w:r>
          </w:p>
          <w:p w:rsidR="002A25BF" w:rsidRPr="00BB04C4" w:rsidRDefault="002A25BF" w:rsidP="0069468E">
            <w:pPr>
              <w:widowControl w:val="0"/>
              <w:jc w:val="center"/>
              <w:rPr>
                <w:bCs/>
                <w:color w:val="000000"/>
                <w:sz w:val="20"/>
                <w:szCs w:val="20"/>
              </w:rPr>
            </w:pPr>
            <w:r w:rsidRPr="00BB04C4">
              <w:rPr>
                <w:bCs/>
                <w:color w:val="000000"/>
                <w:sz w:val="20"/>
                <w:szCs w:val="20"/>
              </w:rPr>
              <w:t>[0.03, 0.19]</w:t>
            </w:r>
          </w:p>
        </w:tc>
      </w:tr>
      <w:tr w:rsidR="002A25BF" w:rsidRPr="00BB04C4" w:rsidTr="0069468E">
        <w:trPr>
          <w:trHeight w:val="576"/>
          <w:jc w:val="center"/>
        </w:trPr>
        <w:tc>
          <w:tcPr>
            <w:tcW w:w="1275" w:type="pct"/>
            <w:vAlign w:val="center"/>
          </w:tcPr>
          <w:p w:rsidR="002A25BF" w:rsidRPr="00BB04C4" w:rsidRDefault="002A25BF" w:rsidP="0069468E">
            <w:pPr>
              <w:widowControl w:val="0"/>
              <w:rPr>
                <w:bCs/>
                <w:color w:val="000000"/>
                <w:sz w:val="20"/>
                <w:szCs w:val="20"/>
              </w:rPr>
            </w:pPr>
            <w:r w:rsidRPr="00BB04C4">
              <w:rPr>
                <w:bCs/>
                <w:color w:val="000000"/>
                <w:sz w:val="20"/>
                <w:szCs w:val="20"/>
              </w:rPr>
              <w:t>Case-clustering**</w:t>
            </w:r>
          </w:p>
        </w:tc>
        <w:tc>
          <w:tcPr>
            <w:tcW w:w="625" w:type="pct"/>
            <w:vAlign w:val="center"/>
          </w:tcPr>
          <w:p w:rsidR="002A25BF" w:rsidRPr="00BB04C4" w:rsidRDefault="002A25BF" w:rsidP="0069468E">
            <w:pPr>
              <w:widowControl w:val="0"/>
              <w:jc w:val="center"/>
              <w:rPr>
                <w:bCs/>
                <w:color w:val="000000"/>
                <w:sz w:val="20"/>
                <w:szCs w:val="20"/>
              </w:rPr>
            </w:pPr>
            <w:r w:rsidRPr="00BB04C4">
              <w:rPr>
                <w:bCs/>
                <w:color w:val="000000"/>
                <w:sz w:val="20"/>
                <w:szCs w:val="20"/>
              </w:rPr>
              <w:t>24,818</w:t>
            </w:r>
          </w:p>
          <w:p w:rsidR="002A25BF" w:rsidRPr="00BB04C4" w:rsidRDefault="002A25BF" w:rsidP="0069468E">
            <w:pPr>
              <w:widowControl w:val="0"/>
              <w:jc w:val="center"/>
              <w:rPr>
                <w:bCs/>
                <w:color w:val="000000"/>
                <w:sz w:val="20"/>
                <w:szCs w:val="20"/>
              </w:rPr>
            </w:pPr>
            <w:r w:rsidRPr="00BB04C4">
              <w:rPr>
                <w:bCs/>
                <w:color w:val="000000"/>
                <w:sz w:val="20"/>
                <w:szCs w:val="20"/>
              </w:rPr>
              <w:t>[59,525]</w:t>
            </w:r>
          </w:p>
        </w:tc>
        <w:tc>
          <w:tcPr>
            <w:tcW w:w="735" w:type="pct"/>
            <w:vAlign w:val="center"/>
          </w:tcPr>
          <w:p w:rsidR="002A25BF" w:rsidRPr="00BB04C4" w:rsidRDefault="002A25BF" w:rsidP="0069468E">
            <w:pPr>
              <w:widowControl w:val="0"/>
              <w:jc w:val="center"/>
              <w:rPr>
                <w:bCs/>
                <w:color w:val="000000"/>
                <w:sz w:val="20"/>
                <w:szCs w:val="20"/>
              </w:rPr>
            </w:pPr>
            <w:r w:rsidRPr="00BB04C4">
              <w:rPr>
                <w:bCs/>
                <w:color w:val="000000"/>
                <w:sz w:val="20"/>
                <w:szCs w:val="20"/>
              </w:rPr>
              <w:t>57,499</w:t>
            </w:r>
          </w:p>
          <w:p w:rsidR="002A25BF" w:rsidRPr="00BB04C4" w:rsidRDefault="002A25BF" w:rsidP="0069468E">
            <w:pPr>
              <w:widowControl w:val="0"/>
              <w:jc w:val="center"/>
              <w:rPr>
                <w:bCs/>
                <w:color w:val="000000"/>
                <w:sz w:val="20"/>
                <w:szCs w:val="20"/>
              </w:rPr>
            </w:pPr>
            <w:r w:rsidRPr="00BB04C4">
              <w:rPr>
                <w:bCs/>
                <w:color w:val="000000"/>
                <w:sz w:val="20"/>
                <w:szCs w:val="20"/>
              </w:rPr>
              <w:t>[189,010]</w:t>
            </w:r>
          </w:p>
        </w:tc>
        <w:tc>
          <w:tcPr>
            <w:tcW w:w="786" w:type="pct"/>
            <w:vAlign w:val="center"/>
          </w:tcPr>
          <w:p w:rsidR="002A25BF" w:rsidRPr="00BB04C4" w:rsidRDefault="002A25BF" w:rsidP="0069468E">
            <w:pPr>
              <w:widowControl w:val="0"/>
              <w:jc w:val="center"/>
              <w:rPr>
                <w:bCs/>
                <w:color w:val="000000"/>
                <w:sz w:val="20"/>
                <w:szCs w:val="20"/>
              </w:rPr>
            </w:pPr>
            <w:r w:rsidRPr="00BB04C4">
              <w:rPr>
                <w:bCs/>
                <w:color w:val="000000"/>
                <w:sz w:val="20"/>
                <w:szCs w:val="20"/>
              </w:rPr>
              <w:t>2.81</w:t>
            </w:r>
          </w:p>
          <w:p w:rsidR="002A25BF" w:rsidRPr="00BB04C4" w:rsidRDefault="002A25BF" w:rsidP="0069468E">
            <w:pPr>
              <w:widowControl w:val="0"/>
              <w:jc w:val="center"/>
              <w:rPr>
                <w:bCs/>
                <w:color w:val="000000"/>
                <w:sz w:val="20"/>
                <w:szCs w:val="20"/>
              </w:rPr>
            </w:pPr>
            <w:r w:rsidRPr="00BB04C4">
              <w:rPr>
                <w:bCs/>
                <w:color w:val="000000"/>
                <w:sz w:val="20"/>
                <w:szCs w:val="20"/>
              </w:rPr>
              <w:t>[1.47, 4.70]</w:t>
            </w:r>
          </w:p>
        </w:tc>
        <w:tc>
          <w:tcPr>
            <w:tcW w:w="764" w:type="pct"/>
            <w:vAlign w:val="center"/>
          </w:tcPr>
          <w:p w:rsidR="002A25BF" w:rsidRPr="00BB04C4" w:rsidRDefault="002A25BF" w:rsidP="0069468E">
            <w:pPr>
              <w:widowControl w:val="0"/>
              <w:jc w:val="center"/>
              <w:rPr>
                <w:bCs/>
                <w:color w:val="000000"/>
                <w:sz w:val="20"/>
                <w:szCs w:val="20"/>
              </w:rPr>
            </w:pPr>
            <w:r w:rsidRPr="00BB04C4">
              <w:rPr>
                <w:bCs/>
                <w:color w:val="000000"/>
                <w:sz w:val="20"/>
                <w:szCs w:val="20"/>
              </w:rPr>
              <w:t>0.16</w:t>
            </w:r>
          </w:p>
          <w:p w:rsidR="002A25BF" w:rsidRPr="00BB04C4" w:rsidRDefault="002A25BF" w:rsidP="0069468E">
            <w:pPr>
              <w:widowControl w:val="0"/>
              <w:jc w:val="center"/>
              <w:rPr>
                <w:bCs/>
                <w:color w:val="000000"/>
                <w:sz w:val="20"/>
                <w:szCs w:val="20"/>
              </w:rPr>
            </w:pPr>
            <w:r w:rsidRPr="00BB04C4">
              <w:rPr>
                <w:bCs/>
                <w:color w:val="000000"/>
                <w:sz w:val="20"/>
                <w:szCs w:val="20"/>
              </w:rPr>
              <w:t>[0.07, 0.26]</w:t>
            </w:r>
          </w:p>
        </w:tc>
        <w:tc>
          <w:tcPr>
            <w:tcW w:w="816" w:type="pct"/>
            <w:vAlign w:val="center"/>
          </w:tcPr>
          <w:p w:rsidR="002A25BF" w:rsidRPr="00BB04C4" w:rsidRDefault="002A25BF" w:rsidP="0069468E">
            <w:pPr>
              <w:widowControl w:val="0"/>
              <w:jc w:val="center"/>
              <w:rPr>
                <w:bCs/>
                <w:color w:val="000000"/>
                <w:sz w:val="20"/>
                <w:szCs w:val="20"/>
              </w:rPr>
            </w:pPr>
            <w:r w:rsidRPr="00BB04C4">
              <w:rPr>
                <w:bCs/>
                <w:color w:val="000000"/>
                <w:sz w:val="20"/>
                <w:szCs w:val="20"/>
              </w:rPr>
              <w:t>0.06</w:t>
            </w:r>
          </w:p>
          <w:p w:rsidR="002A25BF" w:rsidRPr="00BB04C4" w:rsidRDefault="002A25BF" w:rsidP="0069468E">
            <w:pPr>
              <w:widowControl w:val="0"/>
              <w:jc w:val="center"/>
              <w:rPr>
                <w:bCs/>
                <w:color w:val="000000"/>
                <w:sz w:val="20"/>
                <w:szCs w:val="20"/>
              </w:rPr>
            </w:pPr>
            <w:r w:rsidRPr="00BB04C4">
              <w:rPr>
                <w:bCs/>
                <w:color w:val="000000"/>
                <w:sz w:val="20"/>
                <w:szCs w:val="20"/>
              </w:rPr>
              <w:t>[0.03, 0.10]</w:t>
            </w:r>
          </w:p>
        </w:tc>
      </w:tr>
      <w:tr w:rsidR="002A25BF" w:rsidRPr="00BB04C4" w:rsidTr="0069468E">
        <w:trPr>
          <w:trHeight w:val="576"/>
          <w:jc w:val="center"/>
        </w:trPr>
        <w:tc>
          <w:tcPr>
            <w:tcW w:w="1275" w:type="pct"/>
            <w:shd w:val="clear" w:color="auto" w:fill="D9D9D9"/>
            <w:vAlign w:val="center"/>
          </w:tcPr>
          <w:p w:rsidR="002A25BF" w:rsidRPr="00BB04C4" w:rsidRDefault="002A25BF" w:rsidP="0069468E">
            <w:pPr>
              <w:widowControl w:val="0"/>
              <w:rPr>
                <w:bCs/>
                <w:color w:val="000000"/>
                <w:sz w:val="20"/>
                <w:szCs w:val="20"/>
              </w:rPr>
            </w:pPr>
            <w:r w:rsidRPr="00BB04C4">
              <w:rPr>
                <w:bCs/>
                <w:color w:val="000000"/>
                <w:sz w:val="20"/>
                <w:szCs w:val="20"/>
              </w:rPr>
              <w:t xml:space="preserve">Prior mean for </w:t>
            </w:r>
            <m:oMath>
              <m:sSub>
                <m:sSubPr>
                  <m:ctrlPr>
                    <w:rPr>
                      <w:rFonts w:ascii="Cambria Math" w:hAnsi="Cambria Math"/>
                      <w:bCs/>
                      <w:i/>
                      <w:color w:val="000000"/>
                      <w:sz w:val="20"/>
                      <w:szCs w:val="20"/>
                    </w:rPr>
                  </m:ctrlPr>
                </m:sSubPr>
                <m:e>
                  <m:r>
                    <w:rPr>
                      <w:rFonts w:ascii="Cambria Math" w:hAnsi="Cambria Math"/>
                      <w:color w:val="000000"/>
                      <w:sz w:val="20"/>
                      <w:szCs w:val="20"/>
                    </w:rPr>
                    <m:t>R</m:t>
                  </m:r>
                </m:e>
                <m:sub>
                  <m:r>
                    <w:rPr>
                      <w:rFonts w:ascii="Cambria Math" w:hAnsi="Cambria Math"/>
                      <w:color w:val="000000"/>
                      <w:sz w:val="20"/>
                      <w:szCs w:val="20"/>
                    </w:rPr>
                    <m:t>0</m:t>
                  </m:r>
                </m:sub>
              </m:sSub>
              <m:r>
                <w:rPr>
                  <w:rFonts w:ascii="Cambria Math" w:hAnsi="Cambria Math"/>
                  <w:color w:val="000000"/>
                  <w:sz w:val="20"/>
                  <w:szCs w:val="20"/>
                </w:rPr>
                <m:t>=2</m:t>
              </m:r>
            </m:oMath>
          </w:p>
        </w:tc>
        <w:tc>
          <w:tcPr>
            <w:tcW w:w="625" w:type="pct"/>
            <w:shd w:val="clear" w:color="auto" w:fill="D9D9D9"/>
            <w:vAlign w:val="center"/>
          </w:tcPr>
          <w:p w:rsidR="002A25BF" w:rsidRPr="00BB04C4" w:rsidRDefault="002A25BF" w:rsidP="0069468E">
            <w:pPr>
              <w:widowControl w:val="0"/>
              <w:jc w:val="center"/>
              <w:rPr>
                <w:bCs/>
                <w:color w:val="000000"/>
                <w:sz w:val="20"/>
                <w:szCs w:val="20"/>
              </w:rPr>
            </w:pPr>
            <w:r w:rsidRPr="00BB04C4">
              <w:rPr>
                <w:bCs/>
                <w:color w:val="000000"/>
                <w:sz w:val="20"/>
                <w:szCs w:val="20"/>
              </w:rPr>
              <w:t>20,251</w:t>
            </w:r>
          </w:p>
          <w:p w:rsidR="002A25BF" w:rsidRPr="00BB04C4" w:rsidRDefault="002A25BF" w:rsidP="0069468E">
            <w:pPr>
              <w:widowControl w:val="0"/>
              <w:jc w:val="center"/>
              <w:rPr>
                <w:bCs/>
                <w:color w:val="000000"/>
                <w:sz w:val="20"/>
                <w:szCs w:val="20"/>
              </w:rPr>
            </w:pPr>
            <w:r w:rsidRPr="00BB04C4">
              <w:rPr>
                <w:bCs/>
                <w:color w:val="000000"/>
                <w:sz w:val="20"/>
                <w:szCs w:val="20"/>
              </w:rPr>
              <w:t>[135,034]</w:t>
            </w:r>
          </w:p>
        </w:tc>
        <w:tc>
          <w:tcPr>
            <w:tcW w:w="735" w:type="pct"/>
            <w:shd w:val="clear" w:color="auto" w:fill="D9D9D9"/>
            <w:vAlign w:val="center"/>
          </w:tcPr>
          <w:p w:rsidR="002A25BF" w:rsidRPr="00BB04C4" w:rsidRDefault="002A25BF" w:rsidP="0069468E">
            <w:pPr>
              <w:widowControl w:val="0"/>
              <w:jc w:val="center"/>
              <w:rPr>
                <w:bCs/>
                <w:color w:val="000000"/>
                <w:sz w:val="20"/>
                <w:szCs w:val="20"/>
              </w:rPr>
            </w:pPr>
            <w:r w:rsidRPr="00BB04C4">
              <w:rPr>
                <w:bCs/>
                <w:color w:val="000000"/>
                <w:sz w:val="20"/>
                <w:szCs w:val="20"/>
              </w:rPr>
              <w:t>42,252</w:t>
            </w:r>
          </w:p>
          <w:p w:rsidR="002A25BF" w:rsidRPr="00BB04C4" w:rsidRDefault="002A25BF" w:rsidP="0069468E">
            <w:pPr>
              <w:widowControl w:val="0"/>
              <w:jc w:val="center"/>
              <w:rPr>
                <w:bCs/>
                <w:color w:val="000000"/>
                <w:sz w:val="20"/>
                <w:szCs w:val="20"/>
              </w:rPr>
            </w:pPr>
            <w:r w:rsidRPr="00BB04C4">
              <w:rPr>
                <w:bCs/>
                <w:color w:val="000000"/>
                <w:sz w:val="20"/>
                <w:szCs w:val="20"/>
              </w:rPr>
              <w:t>[315,348]</w:t>
            </w:r>
          </w:p>
        </w:tc>
        <w:tc>
          <w:tcPr>
            <w:tcW w:w="786" w:type="pct"/>
            <w:shd w:val="clear" w:color="auto" w:fill="D9D9D9"/>
            <w:vAlign w:val="center"/>
          </w:tcPr>
          <w:p w:rsidR="002A25BF" w:rsidRPr="00BB04C4" w:rsidRDefault="002A25BF" w:rsidP="0069468E">
            <w:pPr>
              <w:widowControl w:val="0"/>
              <w:jc w:val="center"/>
              <w:rPr>
                <w:bCs/>
                <w:color w:val="000000"/>
                <w:sz w:val="20"/>
                <w:szCs w:val="20"/>
              </w:rPr>
            </w:pPr>
            <w:r w:rsidRPr="00BB04C4">
              <w:rPr>
                <w:bCs/>
                <w:color w:val="000000"/>
                <w:sz w:val="20"/>
                <w:szCs w:val="20"/>
              </w:rPr>
              <w:t>1.80</w:t>
            </w:r>
          </w:p>
          <w:p w:rsidR="002A25BF" w:rsidRPr="00BB04C4" w:rsidRDefault="002A25BF" w:rsidP="0069468E">
            <w:pPr>
              <w:widowControl w:val="0"/>
              <w:jc w:val="center"/>
              <w:rPr>
                <w:bCs/>
                <w:color w:val="000000"/>
                <w:sz w:val="20"/>
                <w:szCs w:val="20"/>
              </w:rPr>
            </w:pPr>
            <w:r w:rsidRPr="00BB04C4">
              <w:rPr>
                <w:bCs/>
                <w:color w:val="000000"/>
                <w:sz w:val="20"/>
                <w:szCs w:val="20"/>
              </w:rPr>
              <w:t>[0.87, 3.26]</w:t>
            </w:r>
          </w:p>
        </w:tc>
        <w:tc>
          <w:tcPr>
            <w:tcW w:w="764" w:type="pct"/>
            <w:shd w:val="clear" w:color="auto" w:fill="D9D9D9"/>
            <w:vAlign w:val="center"/>
          </w:tcPr>
          <w:p w:rsidR="002A25BF" w:rsidRPr="00BB04C4" w:rsidRDefault="002A25BF" w:rsidP="0069468E">
            <w:pPr>
              <w:widowControl w:val="0"/>
              <w:jc w:val="center"/>
              <w:rPr>
                <w:bCs/>
                <w:color w:val="000000"/>
                <w:sz w:val="20"/>
                <w:szCs w:val="20"/>
              </w:rPr>
            </w:pPr>
            <w:r w:rsidRPr="00BB04C4">
              <w:rPr>
                <w:bCs/>
                <w:color w:val="000000"/>
                <w:sz w:val="20"/>
                <w:szCs w:val="20"/>
              </w:rPr>
              <w:t>0.27</w:t>
            </w:r>
          </w:p>
          <w:p w:rsidR="002A25BF" w:rsidRPr="00BB04C4" w:rsidRDefault="002A25BF" w:rsidP="0069468E">
            <w:pPr>
              <w:widowControl w:val="0"/>
              <w:jc w:val="center"/>
              <w:rPr>
                <w:bCs/>
                <w:color w:val="000000"/>
                <w:sz w:val="20"/>
                <w:szCs w:val="20"/>
              </w:rPr>
            </w:pPr>
            <w:r w:rsidRPr="00BB04C4">
              <w:rPr>
                <w:bCs/>
                <w:color w:val="000000"/>
                <w:sz w:val="20"/>
                <w:szCs w:val="20"/>
              </w:rPr>
              <w:t>[0.06, 0.59]</w:t>
            </w:r>
          </w:p>
        </w:tc>
        <w:tc>
          <w:tcPr>
            <w:tcW w:w="816" w:type="pct"/>
            <w:shd w:val="clear" w:color="auto" w:fill="D9D9D9"/>
            <w:vAlign w:val="center"/>
          </w:tcPr>
          <w:p w:rsidR="002A25BF" w:rsidRPr="00BB04C4" w:rsidRDefault="002A25BF" w:rsidP="0069468E">
            <w:pPr>
              <w:widowControl w:val="0"/>
              <w:jc w:val="center"/>
              <w:rPr>
                <w:bCs/>
                <w:color w:val="000000"/>
                <w:sz w:val="20"/>
                <w:szCs w:val="20"/>
              </w:rPr>
            </w:pPr>
            <w:r w:rsidRPr="00BB04C4">
              <w:rPr>
                <w:bCs/>
                <w:color w:val="000000"/>
                <w:sz w:val="20"/>
                <w:szCs w:val="20"/>
              </w:rPr>
              <w:t>0.16</w:t>
            </w:r>
          </w:p>
          <w:p w:rsidR="002A25BF" w:rsidRPr="00BB04C4" w:rsidRDefault="002A25BF" w:rsidP="0069468E">
            <w:pPr>
              <w:widowControl w:val="0"/>
              <w:jc w:val="center"/>
              <w:rPr>
                <w:bCs/>
                <w:color w:val="000000"/>
                <w:sz w:val="20"/>
                <w:szCs w:val="20"/>
              </w:rPr>
            </w:pPr>
            <w:r w:rsidRPr="00BB04C4">
              <w:rPr>
                <w:bCs/>
                <w:color w:val="000000"/>
                <w:sz w:val="20"/>
                <w:szCs w:val="20"/>
              </w:rPr>
              <w:t>[0.04, 0.35]</w:t>
            </w:r>
          </w:p>
        </w:tc>
      </w:tr>
      <w:tr w:rsidR="002A25BF" w:rsidRPr="00BB04C4" w:rsidTr="0069468E">
        <w:trPr>
          <w:trHeight w:val="576"/>
          <w:jc w:val="center"/>
        </w:trPr>
        <w:tc>
          <w:tcPr>
            <w:tcW w:w="1275" w:type="pct"/>
            <w:vAlign w:val="center"/>
          </w:tcPr>
          <w:p w:rsidR="002A25BF" w:rsidRPr="00BB04C4" w:rsidRDefault="002A25BF" w:rsidP="0069468E">
            <w:pPr>
              <w:widowControl w:val="0"/>
              <w:rPr>
                <w:bCs/>
                <w:color w:val="000000"/>
                <w:sz w:val="20"/>
                <w:szCs w:val="20"/>
              </w:rPr>
            </w:pPr>
            <w:r w:rsidRPr="00BB04C4">
              <w:rPr>
                <w:bCs/>
                <w:color w:val="000000"/>
                <w:sz w:val="20"/>
                <w:szCs w:val="20"/>
              </w:rPr>
              <w:t xml:space="preserve">Prior mean for </w:t>
            </w:r>
            <m:oMath>
              <m:sSub>
                <m:sSubPr>
                  <m:ctrlPr>
                    <w:rPr>
                      <w:rFonts w:ascii="Cambria Math" w:hAnsi="Cambria Math"/>
                      <w:bCs/>
                      <w:i/>
                      <w:color w:val="000000"/>
                      <w:sz w:val="20"/>
                      <w:szCs w:val="20"/>
                    </w:rPr>
                  </m:ctrlPr>
                </m:sSubPr>
                <m:e>
                  <m:r>
                    <w:rPr>
                      <w:rFonts w:ascii="Cambria Math" w:hAnsi="Cambria Math"/>
                      <w:color w:val="000000"/>
                      <w:sz w:val="20"/>
                      <w:szCs w:val="20"/>
                    </w:rPr>
                    <m:t>R</m:t>
                  </m:r>
                </m:e>
                <m:sub>
                  <m:r>
                    <w:rPr>
                      <w:rFonts w:ascii="Cambria Math" w:hAnsi="Cambria Math"/>
                      <w:color w:val="000000"/>
                      <w:sz w:val="20"/>
                      <w:szCs w:val="20"/>
                    </w:rPr>
                    <m:t>0</m:t>
                  </m:r>
                </m:sub>
              </m:sSub>
              <m:r>
                <w:rPr>
                  <w:rFonts w:ascii="Cambria Math" w:hAnsi="Cambria Math"/>
                  <w:color w:val="000000"/>
                  <w:sz w:val="20"/>
                  <w:szCs w:val="20"/>
                </w:rPr>
                <m:t>=3</m:t>
              </m:r>
            </m:oMath>
          </w:p>
        </w:tc>
        <w:tc>
          <w:tcPr>
            <w:tcW w:w="625" w:type="pct"/>
            <w:vAlign w:val="center"/>
          </w:tcPr>
          <w:p w:rsidR="002A25BF" w:rsidRPr="00BB04C4" w:rsidRDefault="002A25BF" w:rsidP="0069468E">
            <w:pPr>
              <w:widowControl w:val="0"/>
              <w:jc w:val="center"/>
              <w:rPr>
                <w:bCs/>
                <w:color w:val="000000"/>
                <w:sz w:val="20"/>
                <w:szCs w:val="20"/>
              </w:rPr>
            </w:pPr>
            <w:r w:rsidRPr="00BB04C4">
              <w:rPr>
                <w:bCs/>
                <w:color w:val="000000"/>
                <w:sz w:val="20"/>
                <w:szCs w:val="20"/>
              </w:rPr>
              <w:t>25,757</w:t>
            </w:r>
          </w:p>
          <w:p w:rsidR="002A25BF" w:rsidRPr="00BB04C4" w:rsidRDefault="002A25BF" w:rsidP="0069468E">
            <w:pPr>
              <w:widowControl w:val="0"/>
              <w:jc w:val="center"/>
              <w:rPr>
                <w:bCs/>
                <w:color w:val="000000"/>
                <w:sz w:val="20"/>
                <w:szCs w:val="20"/>
              </w:rPr>
            </w:pPr>
            <w:r w:rsidRPr="00BB04C4">
              <w:rPr>
                <w:bCs/>
                <w:color w:val="000000"/>
                <w:sz w:val="20"/>
                <w:szCs w:val="20"/>
              </w:rPr>
              <w:t>[165,287]</w:t>
            </w:r>
          </w:p>
        </w:tc>
        <w:tc>
          <w:tcPr>
            <w:tcW w:w="735" w:type="pct"/>
            <w:vAlign w:val="center"/>
          </w:tcPr>
          <w:p w:rsidR="002A25BF" w:rsidRPr="00BB04C4" w:rsidRDefault="002A25BF" w:rsidP="0069468E">
            <w:pPr>
              <w:widowControl w:val="0"/>
              <w:jc w:val="center"/>
              <w:rPr>
                <w:bCs/>
                <w:color w:val="000000"/>
                <w:sz w:val="20"/>
                <w:szCs w:val="20"/>
              </w:rPr>
            </w:pPr>
            <w:r w:rsidRPr="00BB04C4">
              <w:rPr>
                <w:bCs/>
                <w:color w:val="000000"/>
                <w:sz w:val="20"/>
                <w:szCs w:val="20"/>
              </w:rPr>
              <w:t>86,750</w:t>
            </w:r>
          </w:p>
          <w:p w:rsidR="002A25BF" w:rsidRPr="00BB04C4" w:rsidRDefault="002A25BF" w:rsidP="0069468E">
            <w:pPr>
              <w:widowControl w:val="0"/>
              <w:jc w:val="center"/>
              <w:rPr>
                <w:bCs/>
                <w:color w:val="000000"/>
                <w:sz w:val="20"/>
                <w:szCs w:val="20"/>
              </w:rPr>
            </w:pPr>
            <w:r w:rsidRPr="00BB04C4">
              <w:rPr>
                <w:bCs/>
                <w:color w:val="000000"/>
                <w:sz w:val="20"/>
                <w:szCs w:val="20"/>
              </w:rPr>
              <w:t>[638,770]</w:t>
            </w:r>
          </w:p>
        </w:tc>
        <w:tc>
          <w:tcPr>
            <w:tcW w:w="786" w:type="pct"/>
            <w:vAlign w:val="center"/>
          </w:tcPr>
          <w:p w:rsidR="002A25BF" w:rsidRPr="00BB04C4" w:rsidRDefault="002A25BF" w:rsidP="0069468E">
            <w:pPr>
              <w:widowControl w:val="0"/>
              <w:jc w:val="center"/>
              <w:rPr>
                <w:bCs/>
                <w:color w:val="000000"/>
                <w:sz w:val="20"/>
                <w:szCs w:val="20"/>
              </w:rPr>
            </w:pPr>
            <w:r w:rsidRPr="00BB04C4">
              <w:rPr>
                <w:bCs/>
                <w:color w:val="000000"/>
                <w:sz w:val="20"/>
                <w:szCs w:val="20"/>
              </w:rPr>
              <w:t>2.43</w:t>
            </w:r>
          </w:p>
          <w:p w:rsidR="002A25BF" w:rsidRPr="00BB04C4" w:rsidRDefault="002A25BF" w:rsidP="0069468E">
            <w:pPr>
              <w:widowControl w:val="0"/>
              <w:jc w:val="center"/>
              <w:rPr>
                <w:bCs/>
                <w:color w:val="000000"/>
                <w:sz w:val="20"/>
                <w:szCs w:val="20"/>
              </w:rPr>
            </w:pPr>
            <w:r w:rsidRPr="00BB04C4">
              <w:rPr>
                <w:bCs/>
                <w:color w:val="000000"/>
                <w:sz w:val="20"/>
                <w:szCs w:val="20"/>
              </w:rPr>
              <w:t>[1.41, 4.07]</w:t>
            </w:r>
          </w:p>
        </w:tc>
        <w:tc>
          <w:tcPr>
            <w:tcW w:w="764" w:type="pct"/>
            <w:vAlign w:val="center"/>
          </w:tcPr>
          <w:p w:rsidR="002A25BF" w:rsidRPr="00BB04C4" w:rsidRDefault="002A25BF" w:rsidP="0069468E">
            <w:pPr>
              <w:widowControl w:val="0"/>
              <w:jc w:val="center"/>
              <w:rPr>
                <w:bCs/>
                <w:color w:val="000000"/>
                <w:sz w:val="20"/>
                <w:szCs w:val="20"/>
              </w:rPr>
            </w:pPr>
            <w:r w:rsidRPr="00BB04C4">
              <w:rPr>
                <w:bCs/>
                <w:color w:val="000000"/>
                <w:sz w:val="20"/>
                <w:szCs w:val="20"/>
              </w:rPr>
              <w:t>0.30</w:t>
            </w:r>
          </w:p>
          <w:p w:rsidR="002A25BF" w:rsidRPr="00BB04C4" w:rsidRDefault="002A25BF" w:rsidP="0069468E">
            <w:pPr>
              <w:widowControl w:val="0"/>
              <w:jc w:val="center"/>
              <w:rPr>
                <w:bCs/>
                <w:color w:val="000000"/>
                <w:sz w:val="20"/>
                <w:szCs w:val="20"/>
              </w:rPr>
            </w:pPr>
            <w:r w:rsidRPr="00BB04C4">
              <w:rPr>
                <w:bCs/>
                <w:color w:val="000000"/>
                <w:sz w:val="20"/>
                <w:szCs w:val="20"/>
              </w:rPr>
              <w:t>[0.09, 0.60]</w:t>
            </w:r>
          </w:p>
        </w:tc>
        <w:tc>
          <w:tcPr>
            <w:tcW w:w="816" w:type="pct"/>
            <w:vAlign w:val="center"/>
          </w:tcPr>
          <w:p w:rsidR="002A25BF" w:rsidRPr="00BB04C4" w:rsidRDefault="002A25BF" w:rsidP="0069468E">
            <w:pPr>
              <w:widowControl w:val="0"/>
              <w:jc w:val="center"/>
              <w:rPr>
                <w:bCs/>
                <w:color w:val="000000"/>
                <w:sz w:val="20"/>
                <w:szCs w:val="20"/>
              </w:rPr>
            </w:pPr>
            <w:r w:rsidRPr="00BB04C4">
              <w:rPr>
                <w:bCs/>
                <w:color w:val="000000"/>
                <w:sz w:val="20"/>
                <w:szCs w:val="20"/>
              </w:rPr>
              <w:t>0.13</w:t>
            </w:r>
          </w:p>
          <w:p w:rsidR="002A25BF" w:rsidRPr="00BB04C4" w:rsidRDefault="002A25BF" w:rsidP="0069468E">
            <w:pPr>
              <w:widowControl w:val="0"/>
              <w:jc w:val="center"/>
              <w:rPr>
                <w:bCs/>
                <w:color w:val="000000"/>
                <w:sz w:val="20"/>
                <w:szCs w:val="20"/>
              </w:rPr>
            </w:pPr>
            <w:r w:rsidRPr="00BB04C4">
              <w:rPr>
                <w:bCs/>
                <w:color w:val="000000"/>
                <w:sz w:val="20"/>
                <w:szCs w:val="20"/>
              </w:rPr>
              <w:t>[0.04, 0.30]</w:t>
            </w:r>
          </w:p>
        </w:tc>
      </w:tr>
      <w:tr w:rsidR="002A25BF" w:rsidRPr="00BB04C4" w:rsidTr="0069468E">
        <w:trPr>
          <w:trHeight w:val="576"/>
          <w:jc w:val="center"/>
        </w:trPr>
        <w:tc>
          <w:tcPr>
            <w:tcW w:w="1275" w:type="pct"/>
            <w:tcBorders>
              <w:bottom w:val="single" w:sz="4" w:space="0" w:color="auto"/>
            </w:tcBorders>
            <w:shd w:val="clear" w:color="auto" w:fill="D9D9D9"/>
            <w:vAlign w:val="center"/>
          </w:tcPr>
          <w:p w:rsidR="002A25BF" w:rsidRPr="00BB04C4" w:rsidRDefault="002A25BF" w:rsidP="0069468E">
            <w:pPr>
              <w:widowControl w:val="0"/>
              <w:rPr>
                <w:bCs/>
                <w:color w:val="000000"/>
                <w:sz w:val="20"/>
                <w:szCs w:val="20"/>
              </w:rPr>
            </w:pPr>
            <w:r w:rsidRPr="00BB04C4">
              <w:rPr>
                <w:bCs/>
                <w:color w:val="000000"/>
                <w:sz w:val="20"/>
                <w:szCs w:val="20"/>
              </w:rPr>
              <w:t xml:space="preserve">Prior mean for </w:t>
            </w:r>
            <m:oMath>
              <m:sSub>
                <m:sSubPr>
                  <m:ctrlPr>
                    <w:rPr>
                      <w:rFonts w:ascii="Cambria Math" w:hAnsi="Cambria Math"/>
                      <w:bCs/>
                      <w:i/>
                      <w:color w:val="000000"/>
                      <w:sz w:val="20"/>
                      <w:szCs w:val="20"/>
                    </w:rPr>
                  </m:ctrlPr>
                </m:sSubPr>
                <m:e>
                  <m:r>
                    <w:rPr>
                      <w:rFonts w:ascii="Cambria Math" w:hAnsi="Cambria Math"/>
                      <w:color w:val="000000"/>
                      <w:sz w:val="20"/>
                      <w:szCs w:val="20"/>
                    </w:rPr>
                    <m:t>R</m:t>
                  </m:r>
                </m:e>
                <m:sub>
                  <m:r>
                    <w:rPr>
                      <w:rFonts w:ascii="Cambria Math" w:hAnsi="Cambria Math"/>
                      <w:color w:val="000000"/>
                      <w:sz w:val="20"/>
                      <w:szCs w:val="20"/>
                    </w:rPr>
                    <m:t>0</m:t>
                  </m:r>
                </m:sub>
              </m:sSub>
              <m:r>
                <w:rPr>
                  <w:rFonts w:ascii="Cambria Math" w:hAnsi="Cambria Math"/>
                  <w:color w:val="000000"/>
                  <w:sz w:val="20"/>
                  <w:szCs w:val="20"/>
                </w:rPr>
                <m:t>=4</m:t>
              </m:r>
            </m:oMath>
          </w:p>
        </w:tc>
        <w:tc>
          <w:tcPr>
            <w:tcW w:w="625" w:type="pct"/>
            <w:tcBorders>
              <w:bottom w:val="single" w:sz="4" w:space="0" w:color="auto"/>
            </w:tcBorders>
            <w:shd w:val="clear" w:color="auto" w:fill="D9D9D9"/>
            <w:vAlign w:val="center"/>
          </w:tcPr>
          <w:p w:rsidR="002A25BF" w:rsidRPr="00BB04C4" w:rsidRDefault="002A25BF" w:rsidP="0069468E">
            <w:pPr>
              <w:widowControl w:val="0"/>
              <w:jc w:val="center"/>
              <w:rPr>
                <w:bCs/>
                <w:color w:val="000000"/>
                <w:sz w:val="20"/>
                <w:szCs w:val="20"/>
              </w:rPr>
            </w:pPr>
            <w:r w:rsidRPr="00BB04C4">
              <w:rPr>
                <w:bCs/>
                <w:color w:val="000000"/>
                <w:sz w:val="20"/>
                <w:szCs w:val="20"/>
              </w:rPr>
              <w:t>34,587</w:t>
            </w:r>
          </w:p>
          <w:p w:rsidR="002A25BF" w:rsidRPr="00BB04C4" w:rsidRDefault="002A25BF" w:rsidP="0069468E">
            <w:pPr>
              <w:widowControl w:val="0"/>
              <w:jc w:val="center"/>
              <w:rPr>
                <w:bCs/>
                <w:color w:val="000000"/>
                <w:sz w:val="20"/>
                <w:szCs w:val="20"/>
              </w:rPr>
            </w:pPr>
            <w:r w:rsidRPr="00BB04C4">
              <w:rPr>
                <w:bCs/>
                <w:color w:val="000000"/>
                <w:sz w:val="20"/>
                <w:szCs w:val="20"/>
              </w:rPr>
              <w:t>[213,556]</w:t>
            </w:r>
          </w:p>
        </w:tc>
        <w:tc>
          <w:tcPr>
            <w:tcW w:w="735" w:type="pct"/>
            <w:tcBorders>
              <w:bottom w:val="single" w:sz="4" w:space="0" w:color="auto"/>
            </w:tcBorders>
            <w:shd w:val="clear" w:color="auto" w:fill="D9D9D9"/>
            <w:vAlign w:val="center"/>
          </w:tcPr>
          <w:p w:rsidR="002A25BF" w:rsidRPr="00BB04C4" w:rsidRDefault="002A25BF" w:rsidP="0069468E">
            <w:pPr>
              <w:widowControl w:val="0"/>
              <w:jc w:val="center"/>
              <w:rPr>
                <w:bCs/>
                <w:color w:val="000000"/>
                <w:sz w:val="20"/>
                <w:szCs w:val="20"/>
              </w:rPr>
            </w:pPr>
            <w:r w:rsidRPr="00BB04C4">
              <w:rPr>
                <w:bCs/>
                <w:color w:val="000000"/>
                <w:sz w:val="20"/>
                <w:szCs w:val="20"/>
              </w:rPr>
              <w:t>253,935</w:t>
            </w:r>
          </w:p>
          <w:p w:rsidR="002A25BF" w:rsidRPr="00BB04C4" w:rsidRDefault="002A25BF" w:rsidP="0069468E">
            <w:pPr>
              <w:widowControl w:val="0"/>
              <w:jc w:val="center"/>
              <w:rPr>
                <w:bCs/>
                <w:color w:val="000000"/>
                <w:sz w:val="20"/>
                <w:szCs w:val="20"/>
              </w:rPr>
            </w:pPr>
            <w:r w:rsidRPr="00BB04C4">
              <w:rPr>
                <w:bCs/>
                <w:color w:val="000000"/>
                <w:sz w:val="20"/>
                <w:szCs w:val="20"/>
              </w:rPr>
              <w:t>[1,854,319]</w:t>
            </w:r>
          </w:p>
        </w:tc>
        <w:tc>
          <w:tcPr>
            <w:tcW w:w="786" w:type="pct"/>
            <w:tcBorders>
              <w:bottom w:val="single" w:sz="4" w:space="0" w:color="auto"/>
            </w:tcBorders>
            <w:shd w:val="clear" w:color="auto" w:fill="D9D9D9"/>
            <w:vAlign w:val="center"/>
          </w:tcPr>
          <w:p w:rsidR="002A25BF" w:rsidRPr="00BB04C4" w:rsidRDefault="002A25BF" w:rsidP="0069468E">
            <w:pPr>
              <w:widowControl w:val="0"/>
              <w:jc w:val="center"/>
              <w:rPr>
                <w:bCs/>
                <w:color w:val="000000"/>
                <w:sz w:val="20"/>
                <w:szCs w:val="20"/>
              </w:rPr>
            </w:pPr>
            <w:r w:rsidRPr="00BB04C4">
              <w:rPr>
                <w:bCs/>
                <w:color w:val="000000"/>
                <w:sz w:val="20"/>
                <w:szCs w:val="20"/>
              </w:rPr>
              <w:t>3.38</w:t>
            </w:r>
          </w:p>
          <w:p w:rsidR="002A25BF" w:rsidRPr="00BB04C4" w:rsidRDefault="002A25BF" w:rsidP="0069468E">
            <w:pPr>
              <w:widowControl w:val="0"/>
              <w:jc w:val="center"/>
              <w:rPr>
                <w:bCs/>
                <w:color w:val="000000"/>
                <w:sz w:val="20"/>
                <w:szCs w:val="20"/>
              </w:rPr>
            </w:pPr>
            <w:r w:rsidRPr="00BB04C4">
              <w:rPr>
                <w:bCs/>
                <w:color w:val="000000"/>
                <w:sz w:val="20"/>
                <w:szCs w:val="20"/>
              </w:rPr>
              <w:t>[2.09, 5.27]</w:t>
            </w:r>
          </w:p>
        </w:tc>
        <w:tc>
          <w:tcPr>
            <w:tcW w:w="764" w:type="pct"/>
            <w:tcBorders>
              <w:bottom w:val="single" w:sz="4" w:space="0" w:color="auto"/>
            </w:tcBorders>
            <w:shd w:val="clear" w:color="auto" w:fill="D9D9D9"/>
            <w:vAlign w:val="center"/>
          </w:tcPr>
          <w:p w:rsidR="002A25BF" w:rsidRPr="00BB04C4" w:rsidRDefault="002A25BF" w:rsidP="0069468E">
            <w:pPr>
              <w:widowControl w:val="0"/>
              <w:jc w:val="center"/>
              <w:rPr>
                <w:bCs/>
                <w:color w:val="000000"/>
                <w:sz w:val="20"/>
                <w:szCs w:val="20"/>
              </w:rPr>
            </w:pPr>
            <w:r w:rsidRPr="00BB04C4">
              <w:rPr>
                <w:bCs/>
                <w:color w:val="000000"/>
                <w:sz w:val="20"/>
                <w:szCs w:val="20"/>
              </w:rPr>
              <w:t>0.32</w:t>
            </w:r>
          </w:p>
          <w:p w:rsidR="002A25BF" w:rsidRPr="00BB04C4" w:rsidRDefault="002A25BF" w:rsidP="0069468E">
            <w:pPr>
              <w:widowControl w:val="0"/>
              <w:jc w:val="center"/>
              <w:rPr>
                <w:bCs/>
                <w:color w:val="000000"/>
                <w:sz w:val="20"/>
                <w:szCs w:val="20"/>
              </w:rPr>
            </w:pPr>
            <w:r w:rsidRPr="00BB04C4">
              <w:rPr>
                <w:bCs/>
                <w:color w:val="000000"/>
                <w:sz w:val="20"/>
                <w:szCs w:val="20"/>
              </w:rPr>
              <w:t>[0.10, 0.63]</w:t>
            </w:r>
          </w:p>
        </w:tc>
        <w:tc>
          <w:tcPr>
            <w:tcW w:w="816" w:type="pct"/>
            <w:tcBorders>
              <w:bottom w:val="single" w:sz="4" w:space="0" w:color="auto"/>
            </w:tcBorders>
            <w:shd w:val="clear" w:color="auto" w:fill="D9D9D9"/>
            <w:vAlign w:val="center"/>
          </w:tcPr>
          <w:p w:rsidR="002A25BF" w:rsidRPr="00BB04C4" w:rsidRDefault="002A25BF" w:rsidP="0069468E">
            <w:pPr>
              <w:widowControl w:val="0"/>
              <w:jc w:val="center"/>
              <w:rPr>
                <w:bCs/>
                <w:color w:val="000000"/>
                <w:sz w:val="20"/>
                <w:szCs w:val="20"/>
              </w:rPr>
            </w:pPr>
            <w:r w:rsidRPr="00BB04C4">
              <w:rPr>
                <w:bCs/>
                <w:color w:val="000000"/>
                <w:sz w:val="20"/>
                <w:szCs w:val="20"/>
              </w:rPr>
              <w:t>0.10</w:t>
            </w:r>
          </w:p>
          <w:p w:rsidR="002A25BF" w:rsidRPr="00BB04C4" w:rsidRDefault="002A25BF" w:rsidP="0069468E">
            <w:pPr>
              <w:widowControl w:val="0"/>
              <w:jc w:val="center"/>
              <w:rPr>
                <w:bCs/>
                <w:color w:val="000000"/>
                <w:sz w:val="20"/>
                <w:szCs w:val="20"/>
              </w:rPr>
            </w:pPr>
            <w:r w:rsidRPr="00BB04C4">
              <w:rPr>
                <w:bCs/>
                <w:color w:val="000000"/>
                <w:sz w:val="20"/>
                <w:szCs w:val="20"/>
              </w:rPr>
              <w:t>[0.03, 0.23]</w:t>
            </w:r>
          </w:p>
        </w:tc>
      </w:tr>
      <w:tr w:rsidR="002A25BF" w:rsidRPr="00BB04C4" w:rsidTr="0069468E">
        <w:trPr>
          <w:trHeight w:val="422"/>
          <w:jc w:val="center"/>
        </w:trPr>
        <w:tc>
          <w:tcPr>
            <w:tcW w:w="5000" w:type="pct"/>
            <w:gridSpan w:val="6"/>
            <w:tcBorders>
              <w:top w:val="single" w:sz="4" w:space="0" w:color="auto"/>
            </w:tcBorders>
          </w:tcPr>
          <w:p w:rsidR="002A25BF" w:rsidRPr="00BB04C4" w:rsidRDefault="002A25BF" w:rsidP="0069468E">
            <w:pPr>
              <w:widowControl w:val="0"/>
              <w:rPr>
                <w:color w:val="000000"/>
                <w:sz w:val="20"/>
                <w:szCs w:val="20"/>
              </w:rPr>
            </w:pPr>
            <w:r w:rsidRPr="00BB04C4">
              <w:rPr>
                <w:bCs/>
                <w:color w:val="000000"/>
                <w:sz w:val="20"/>
                <w:szCs w:val="20"/>
              </w:rPr>
              <w:t xml:space="preserve">* Observed case-counts are multiplied by 10, Prior mean for </w:t>
            </w:r>
            <m:oMath>
              <m:sSub>
                <m:sSubPr>
                  <m:ctrlPr>
                    <w:rPr>
                      <w:rFonts w:ascii="Cambria Math" w:hAnsi="Cambria Math"/>
                      <w:bCs/>
                      <w:i/>
                      <w:color w:val="000000"/>
                      <w:sz w:val="20"/>
                      <w:szCs w:val="20"/>
                    </w:rPr>
                  </m:ctrlPr>
                </m:sSubPr>
                <m:e>
                  <m:r>
                    <w:rPr>
                      <w:rFonts w:ascii="Cambria Math" w:hAnsi="Cambria Math"/>
                      <w:color w:val="000000"/>
                      <w:sz w:val="20"/>
                      <w:szCs w:val="20"/>
                    </w:rPr>
                    <m:t>R</m:t>
                  </m:r>
                </m:e>
                <m:sub>
                  <m:r>
                    <w:rPr>
                      <w:rFonts w:ascii="Cambria Math" w:hAnsi="Cambria Math"/>
                      <w:color w:val="000000"/>
                      <w:sz w:val="20"/>
                      <w:szCs w:val="20"/>
                    </w:rPr>
                    <m:t>0</m:t>
                  </m:r>
                </m:sub>
              </m:sSub>
              <m:r>
                <w:rPr>
                  <w:rFonts w:ascii="Cambria Math" w:hAnsi="Cambria Math"/>
                  <w:color w:val="000000"/>
                  <w:sz w:val="20"/>
                  <w:szCs w:val="20"/>
                </w:rPr>
                <m:t>=2</m:t>
              </m:r>
            </m:oMath>
          </w:p>
          <w:p w:rsidR="002A25BF" w:rsidRPr="00BB04C4" w:rsidRDefault="002A25BF" w:rsidP="0069468E">
            <w:pPr>
              <w:widowControl w:val="0"/>
              <w:rPr>
                <w:color w:val="000000"/>
                <w:sz w:val="20"/>
                <w:szCs w:val="20"/>
              </w:rPr>
            </w:pPr>
            <w:r w:rsidRPr="00BB04C4">
              <w:rPr>
                <w:color w:val="000000"/>
                <w:sz w:val="20"/>
                <w:szCs w:val="20"/>
              </w:rPr>
              <w:t>**</w:t>
            </w:r>
            <w:r w:rsidRPr="00BB04C4">
              <w:rPr>
                <w:bCs/>
                <w:color w:val="000000"/>
                <w:sz w:val="20"/>
                <w:szCs w:val="20"/>
              </w:rPr>
              <w:t xml:space="preserve"> Assume that the cases happen in metro hotspots, use population size </w:t>
            </w:r>
            <w:r w:rsidRPr="00BB04C4">
              <w:rPr>
                <w:bCs/>
                <w:i/>
                <w:iCs/>
                <w:color w:val="000000"/>
                <w:sz w:val="20"/>
                <w:szCs w:val="20"/>
              </w:rPr>
              <w:t>N</w:t>
            </w:r>
            <w:r w:rsidRPr="00BB04C4">
              <w:rPr>
                <w:bCs/>
                <w:color w:val="000000"/>
                <w:sz w:val="20"/>
                <w:szCs w:val="20"/>
              </w:rPr>
              <w:t xml:space="preserve">=32 million instead of national population 1.34 billion, Prior mean for </w:t>
            </w:r>
            <m:oMath>
              <m:sSub>
                <m:sSubPr>
                  <m:ctrlPr>
                    <w:rPr>
                      <w:rFonts w:ascii="Cambria Math" w:hAnsi="Cambria Math"/>
                      <w:bCs/>
                      <w:i/>
                      <w:color w:val="000000"/>
                      <w:sz w:val="20"/>
                      <w:szCs w:val="20"/>
                    </w:rPr>
                  </m:ctrlPr>
                </m:sSubPr>
                <m:e>
                  <m:r>
                    <w:rPr>
                      <w:rFonts w:ascii="Cambria Math" w:hAnsi="Cambria Math"/>
                      <w:color w:val="000000"/>
                      <w:sz w:val="20"/>
                      <w:szCs w:val="20"/>
                    </w:rPr>
                    <m:t>R</m:t>
                  </m:r>
                </m:e>
                <m:sub>
                  <m:r>
                    <w:rPr>
                      <w:rFonts w:ascii="Cambria Math" w:hAnsi="Cambria Math"/>
                      <w:color w:val="000000"/>
                      <w:sz w:val="20"/>
                      <w:szCs w:val="20"/>
                    </w:rPr>
                    <m:t>0</m:t>
                  </m:r>
                </m:sub>
              </m:sSub>
              <m:r>
                <w:rPr>
                  <w:rFonts w:ascii="Cambria Math" w:hAnsi="Cambria Math"/>
                  <w:color w:val="000000"/>
                  <w:sz w:val="20"/>
                  <w:szCs w:val="20"/>
                </w:rPr>
                <m:t>=2</m:t>
              </m:r>
            </m:oMath>
          </w:p>
          <w:p w:rsidR="002A25BF" w:rsidRPr="00BB04C4" w:rsidRDefault="002A25BF" w:rsidP="0069468E">
            <w:pPr>
              <w:widowControl w:val="0"/>
              <w:rPr>
                <w:bCs/>
                <w:color w:val="000000"/>
                <w:sz w:val="20"/>
                <w:szCs w:val="20"/>
              </w:rPr>
            </w:pPr>
          </w:p>
        </w:tc>
      </w:tr>
    </w:tbl>
    <w:p w:rsidR="002A25BF" w:rsidRDefault="002A25BF" w:rsidP="002A25BF">
      <w:pPr>
        <w:pStyle w:val="Caption"/>
        <w:widowControl w:val="0"/>
        <w:suppressLineNumbers w:val="0"/>
        <w:tabs>
          <w:tab w:val="left" w:pos="11953"/>
        </w:tabs>
        <w:rPr>
          <w:sz w:val="20"/>
          <w:szCs w:val="20"/>
        </w:rPr>
      </w:pPr>
    </w:p>
    <w:p w:rsidR="002A25BF" w:rsidRDefault="002A25BF" w:rsidP="002A25BF">
      <w:pPr>
        <w:pStyle w:val="Caption"/>
        <w:widowControl w:val="0"/>
        <w:suppressLineNumbers w:val="0"/>
        <w:tabs>
          <w:tab w:val="left" w:pos="11953"/>
        </w:tabs>
        <w:rPr>
          <w:sz w:val="20"/>
          <w:szCs w:val="20"/>
        </w:rPr>
      </w:pPr>
      <w:r>
        <w:rPr>
          <w:sz w:val="20"/>
          <w:szCs w:val="20"/>
        </w:rPr>
        <w:tab/>
      </w:r>
    </w:p>
    <w:p w:rsidR="002A25BF" w:rsidRPr="001637C4" w:rsidRDefault="002A25BF" w:rsidP="002A25BF">
      <w:pPr>
        <w:pStyle w:val="ListParagraph"/>
        <w:widowControl w:val="0"/>
        <w:spacing w:after="0" w:line="240" w:lineRule="auto"/>
        <w:jc w:val="center"/>
        <w:rPr>
          <w:i/>
          <w:iCs/>
          <w:sz w:val="16"/>
          <w:szCs w:val="16"/>
        </w:rPr>
      </w:pPr>
      <w:r w:rsidRPr="001637C4">
        <w:rPr>
          <w:i/>
          <w:iCs/>
        </w:rPr>
        <w:t>Supplementary Table S4: National and state-levels lockdown measures implemented over the course of COVID-19 pandemic in India. Reproduced from</w:t>
      </w:r>
      <w:r>
        <w:rPr>
          <w:i/>
          <w:iCs/>
        </w:rPr>
        <w:t xml:space="preserve"> Salvatore et al., 2021</w:t>
      </w:r>
      <w:r w:rsidRPr="001637C4">
        <w:rPr>
          <w:i/>
          <w:iCs/>
        </w:rPr>
        <w:t xml:space="preserve"> </w:t>
      </w:r>
      <w:r w:rsidRPr="001637C4">
        <w:rPr>
          <w:i/>
          <w:iCs/>
        </w:rPr>
        <w:fldChar w:fldCharType="begin"/>
      </w:r>
      <w:r w:rsidRPr="001637C4">
        <w:rPr>
          <w:i/>
          <w:iCs/>
        </w:rPr>
        <w:instrText xml:space="preserve"> ADDIN ZOTERO_ITEM CSL_CITATION {"citationID":"PvLeFbyu","properties":{"formattedCitation":"(66)","plainCitation":"(66)","noteIndex":0},"citationItems":[{"id":323,"uris":["http://zotero.org/users/6647948/items/SEX9KAMY"],"uri":["http://zotero.org/users/6647948/items/SEX9KAMY"],"itemData":{"id":323,"type":"article-journal","abstract":"Objectives\n              To evaluate the effect of four-phase national lockdown from March 25 to May 31 in response to the COVID-19 pandemic in India and unmask the state-wise variations in terms of multiple public health metrics.\n            \n            \n              Design\n              Cohort study (daily time series of case counts).\n            \n            \n              Setting\n              Observational and population based.\n            \n            \n              Participants\n              Confirmed COVID-19 cases nationally and across 20 states that accounted for &gt;99% of the current cumulative case counts in India until 31 May 2020.\n            \n            \n              Exposure\n              Lockdown (non-medical intervention).\n            \n            \n              Main outcomes and measures\n              We illustrate the masking of state-level trends and highlight the variations across states by presenting evaluative evidence on some aspects of the COVID-19 outbreak: case fatality rates, doubling times of cases, effective reproduction numbers and the scale of testing.\n            \n            \n              Results\n              The estimated effective reproduction number R for India was 3.36 (95% CI 3.03 to 3.71) on 24 March, whereas the average of estimates from 25 May to 31 May stands at 1.27 (95% CI 1.26 to 1.28). Similarly, the estimated doubling time across India was at 3.56 days on 24 March, and the past 7-day average for the same on 31 May is 14.37 days. The average daily number of tests increased from 1717 (19–25 March) to 113 372 (25–31 May) while the test positivity rate increased from 2.1% to 4.2%, respectively. However, various states exhibit substantial departures from these national patterns.\n            \n            \n              Conclusions\n              Patterns of change over lockdown periods indicate the lockdown has been partly effective in slowing the spread of the virus nationally. However, there exist large state-level variations and identifying these variations can help in both understanding the dynamics of the pandemic and formulating effective public health interventions. Our framework offers a holistic assessment of the pandemic across Indian states and union territories along with a set of interactive visualisation tools that are daily updated at covind19.org.","container-title":"BMJ Open","DOI":"10.1136/bmjopen-2020-041778","ISSN":"2044-6055, 2044-6055","issue":"12","journalAbbreviation":"BMJ Open","language":"en","page":"e041778","source":"DOI.org (Crossref)","title":"Comprehensive public health evaluation of lockdown as a non-pharmaceutical intervention on COVID-19 spread in India: national trends masking state-level variations","title-short":"Comprehensive public health evaluation of lockdown as a non-pharmaceutical intervention on COVID-19 spread in India","volume":"10","author":[{"family":"Salvatore","given":"Maxwell"},{"family":"Basu","given":"Deepankar"},{"family":"Ray","given":"Debashree"},{"family":"Kleinsasser","given":"Mike"},{"family":"Purkayastha","given":"Soumik"},{"family":"Bhattacharyya","given":"Rupam"},{"family":"Mukherjee","given":"Bhramar"}],"issued":{"date-parts":[["2020",12]]}}}],"schema":"https://github.com/citation-style-language/schema/raw/master/csl-citation.json"} </w:instrText>
      </w:r>
      <w:r w:rsidRPr="001637C4">
        <w:rPr>
          <w:i/>
          <w:iCs/>
        </w:rPr>
        <w:fldChar w:fldCharType="separate"/>
      </w:r>
      <w:r w:rsidRPr="001637C4">
        <w:rPr>
          <w:i/>
          <w:iCs/>
          <w:noProof/>
        </w:rPr>
        <w:t>(66)</w:t>
      </w:r>
      <w:r w:rsidRPr="001637C4">
        <w:rPr>
          <w:i/>
          <w:iCs/>
        </w:rPr>
        <w:fldChar w:fldCharType="end"/>
      </w:r>
      <w:r>
        <w:rPr>
          <w:i/>
          <w:iCs/>
        </w:rPr>
        <w:t>.</w:t>
      </w:r>
    </w:p>
    <w:p w:rsidR="002A25BF" w:rsidRDefault="002A25BF" w:rsidP="002A25BF">
      <w:pPr>
        <w:pStyle w:val="ListParagraph"/>
        <w:widowControl w:val="0"/>
        <w:spacing w:after="0" w:line="240" w:lineRule="auto"/>
        <w:jc w:val="both"/>
        <w:rPr>
          <w:sz w:val="16"/>
          <w:szCs w:val="16"/>
        </w:rPr>
      </w:pPr>
    </w:p>
    <w:tbl>
      <w:tblPr>
        <w:tblStyle w:val="PlainTable11"/>
        <w:tblpPr w:leftFromText="180" w:rightFromText="180" w:vertAnchor="page" w:horzAnchor="margin" w:tblpXSpec="center" w:tblpY="1902"/>
        <w:tblW w:w="5000" w:type="pct"/>
        <w:tblLook w:val="04A0" w:firstRow="1" w:lastRow="0" w:firstColumn="1" w:lastColumn="0" w:noHBand="0" w:noVBand="1"/>
      </w:tblPr>
      <w:tblGrid>
        <w:gridCol w:w="2101"/>
        <w:gridCol w:w="5564"/>
        <w:gridCol w:w="5564"/>
      </w:tblGrid>
      <w:tr w:rsidR="002A25BF" w:rsidRPr="00223459" w:rsidTr="0069468E">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794" w:type="pct"/>
            <w:vAlign w:val="center"/>
          </w:tcPr>
          <w:p w:rsidR="002A25BF" w:rsidRPr="00223459" w:rsidRDefault="002A25BF" w:rsidP="0069468E">
            <w:pPr>
              <w:widowControl w:val="0"/>
              <w:spacing w:line="240" w:lineRule="auto"/>
              <w:contextualSpacing/>
              <w:jc w:val="center"/>
              <w:rPr>
                <w:b w:val="0"/>
                <w:bCs w:val="0"/>
                <w:sz w:val="20"/>
                <w:szCs w:val="20"/>
              </w:rPr>
            </w:pPr>
            <w:r w:rsidRPr="00223459">
              <w:rPr>
                <w:sz w:val="20"/>
                <w:szCs w:val="20"/>
              </w:rPr>
              <w:lastRenderedPageBreak/>
              <w:t>Lockdown phase</w:t>
            </w:r>
          </w:p>
        </w:tc>
        <w:tc>
          <w:tcPr>
            <w:tcW w:w="2103" w:type="pct"/>
            <w:vAlign w:val="center"/>
          </w:tcPr>
          <w:p w:rsidR="002A25BF" w:rsidRPr="00223459" w:rsidRDefault="002A25BF" w:rsidP="0069468E">
            <w:pPr>
              <w:widowControl w:val="0"/>
              <w:spacing w:line="240" w:lineRule="auto"/>
              <w:contextualSpacing/>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23459">
              <w:rPr>
                <w:sz w:val="20"/>
                <w:szCs w:val="20"/>
              </w:rPr>
              <w:t>Nation-wide measures implemented</w:t>
            </w:r>
          </w:p>
        </w:tc>
        <w:tc>
          <w:tcPr>
            <w:tcW w:w="2103" w:type="pct"/>
            <w:vAlign w:val="center"/>
          </w:tcPr>
          <w:p w:rsidR="002A25BF" w:rsidRPr="00223459" w:rsidRDefault="002A25BF" w:rsidP="0069468E">
            <w:pPr>
              <w:widowControl w:val="0"/>
              <w:spacing w:line="240" w:lineRule="auto"/>
              <w:contextualSpacing/>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23459">
              <w:rPr>
                <w:sz w:val="20"/>
                <w:szCs w:val="20"/>
              </w:rPr>
              <w:t>State-level variation in measures implemented</w:t>
            </w:r>
          </w:p>
        </w:tc>
      </w:tr>
      <w:tr w:rsidR="002A25BF" w:rsidRPr="00223459" w:rsidTr="0069468E">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794" w:type="pct"/>
            <w:vAlign w:val="center"/>
          </w:tcPr>
          <w:p w:rsidR="002A25BF" w:rsidRPr="00223459" w:rsidRDefault="002A25BF" w:rsidP="0069468E">
            <w:pPr>
              <w:widowControl w:val="0"/>
              <w:spacing w:line="240" w:lineRule="auto"/>
              <w:contextualSpacing/>
              <w:jc w:val="center"/>
              <w:rPr>
                <w:b w:val="0"/>
                <w:bCs w:val="0"/>
                <w:sz w:val="20"/>
                <w:szCs w:val="20"/>
              </w:rPr>
            </w:pPr>
            <w:r w:rsidRPr="00223459">
              <w:rPr>
                <w:sz w:val="20"/>
                <w:szCs w:val="20"/>
              </w:rPr>
              <w:t>Phase one</w:t>
            </w:r>
          </w:p>
          <w:p w:rsidR="002A25BF" w:rsidRPr="00223459" w:rsidRDefault="002A25BF" w:rsidP="0069468E">
            <w:pPr>
              <w:widowControl w:val="0"/>
              <w:spacing w:line="240" w:lineRule="auto"/>
              <w:contextualSpacing/>
              <w:jc w:val="center"/>
              <w:rPr>
                <w:i/>
                <w:iCs/>
                <w:sz w:val="20"/>
                <w:szCs w:val="20"/>
              </w:rPr>
            </w:pPr>
            <w:r w:rsidRPr="00223459">
              <w:rPr>
                <w:i/>
                <w:iCs/>
                <w:sz w:val="20"/>
                <w:szCs w:val="20"/>
              </w:rPr>
              <w:t>(25 March – 14 April)</w:t>
            </w:r>
          </w:p>
        </w:tc>
        <w:tc>
          <w:tcPr>
            <w:tcW w:w="2103" w:type="pct"/>
            <w:vAlign w:val="center"/>
          </w:tcPr>
          <w:p w:rsidR="002A25BF" w:rsidRPr="00223459" w:rsidRDefault="002A25BF" w:rsidP="0069468E">
            <w:pPr>
              <w:widowControl w:val="0"/>
              <w:spacing w:line="240" w:lineRule="auto"/>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223459">
              <w:rPr>
                <w:sz w:val="20"/>
                <w:szCs w:val="20"/>
              </w:rPr>
              <w:t>All transport services – road, air and rail – were suspended, with exceptions for transportation of essential goods, fire, police and emergency services</w:t>
            </w:r>
            <w:r>
              <w:rPr>
                <w:sz w:val="20"/>
                <w:szCs w:val="20"/>
              </w:rPr>
              <w:t>.</w:t>
            </w:r>
            <w:r w:rsidRPr="00223459">
              <w:rPr>
                <w:sz w:val="20"/>
                <w:szCs w:val="20"/>
              </w:rPr>
              <w:t xml:space="preserve"> Educational institutions, industrial establishments and hospitality services were also </w:t>
            </w:r>
            <w:proofErr w:type="spellStart"/>
            <w:r w:rsidRPr="00223459">
              <w:rPr>
                <w:sz w:val="20"/>
                <w:szCs w:val="20"/>
              </w:rPr>
              <w:t>suspended</w:t>
            </w:r>
            <w:r>
              <w:rPr>
                <w:sz w:val="20"/>
                <w:szCs w:val="20"/>
              </w:rPr>
              <w:t>.</w:t>
            </w:r>
            <w:r w:rsidRPr="00223459">
              <w:rPr>
                <w:sz w:val="20"/>
                <w:szCs w:val="20"/>
                <w:vertAlign w:val="superscript"/>
              </w:rPr>
              <w:t>a</w:t>
            </w:r>
            <w:proofErr w:type="spellEnd"/>
            <w:r w:rsidRPr="00223459">
              <w:rPr>
                <w:sz w:val="20"/>
                <w:szCs w:val="20"/>
              </w:rPr>
              <w:t xml:space="preserve"> Services such as food shops, banks and ATMs, petrol pumps, other essentials and their manufacturing </w:t>
            </w:r>
            <w:r>
              <w:rPr>
                <w:sz w:val="20"/>
                <w:szCs w:val="20"/>
              </w:rPr>
              <w:t>were</w:t>
            </w:r>
            <w:r w:rsidRPr="00223459">
              <w:rPr>
                <w:sz w:val="20"/>
                <w:szCs w:val="20"/>
              </w:rPr>
              <w:t xml:space="preserve"> </w:t>
            </w:r>
            <w:proofErr w:type="spellStart"/>
            <w:r w:rsidRPr="00223459">
              <w:rPr>
                <w:sz w:val="20"/>
                <w:szCs w:val="20"/>
              </w:rPr>
              <w:t>exempted</w:t>
            </w:r>
            <w:r>
              <w:rPr>
                <w:sz w:val="20"/>
                <w:szCs w:val="20"/>
              </w:rPr>
              <w:t>.</w:t>
            </w:r>
            <w:r w:rsidRPr="00223459">
              <w:rPr>
                <w:sz w:val="20"/>
                <w:szCs w:val="20"/>
                <w:vertAlign w:val="superscript"/>
              </w:rPr>
              <w:t>b</w:t>
            </w:r>
            <w:proofErr w:type="spellEnd"/>
          </w:p>
        </w:tc>
        <w:tc>
          <w:tcPr>
            <w:tcW w:w="2103" w:type="pct"/>
            <w:vAlign w:val="center"/>
          </w:tcPr>
          <w:p w:rsidR="002A25BF" w:rsidRPr="00223459" w:rsidRDefault="002A25BF" w:rsidP="0069468E">
            <w:pPr>
              <w:widowControl w:val="0"/>
              <w:spacing w:line="240" w:lineRule="auto"/>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223459">
              <w:rPr>
                <w:sz w:val="20"/>
                <w:szCs w:val="20"/>
              </w:rPr>
              <w:t xml:space="preserve">Gujarat, Himachal Pradesh, Karnataka, Maharashtra, Tamil Nadu, Sikkim and </w:t>
            </w:r>
            <w:proofErr w:type="spellStart"/>
            <w:r w:rsidRPr="00223459">
              <w:rPr>
                <w:sz w:val="20"/>
                <w:szCs w:val="20"/>
              </w:rPr>
              <w:t>Telengana</w:t>
            </w:r>
            <w:proofErr w:type="spellEnd"/>
            <w:r w:rsidRPr="00223459">
              <w:rPr>
                <w:sz w:val="20"/>
                <w:szCs w:val="20"/>
              </w:rPr>
              <w:t xml:space="preserve"> sealed state borders</w:t>
            </w:r>
            <w:r>
              <w:rPr>
                <w:sz w:val="20"/>
                <w:szCs w:val="20"/>
              </w:rPr>
              <w:t>.</w:t>
            </w:r>
            <w:r w:rsidRPr="00223459">
              <w:rPr>
                <w:sz w:val="20"/>
                <w:szCs w:val="20"/>
              </w:rPr>
              <w:t xml:space="preserve"> Additionally, Maharashtra, </w:t>
            </w:r>
            <w:proofErr w:type="spellStart"/>
            <w:r w:rsidRPr="00223459">
              <w:rPr>
                <w:sz w:val="20"/>
                <w:szCs w:val="20"/>
              </w:rPr>
              <w:t>Telengana</w:t>
            </w:r>
            <w:proofErr w:type="spellEnd"/>
            <w:r w:rsidRPr="00223459">
              <w:rPr>
                <w:sz w:val="20"/>
                <w:szCs w:val="20"/>
              </w:rPr>
              <w:t xml:space="preserve"> and Tamil Nadu imposed Section 144, outlawing large gatherings of </w:t>
            </w:r>
            <w:proofErr w:type="spellStart"/>
            <w:r w:rsidRPr="00223459">
              <w:rPr>
                <w:sz w:val="20"/>
                <w:szCs w:val="20"/>
              </w:rPr>
              <w:t>people</w:t>
            </w:r>
            <w:r>
              <w:rPr>
                <w:sz w:val="20"/>
                <w:szCs w:val="20"/>
              </w:rPr>
              <w:t>.</w:t>
            </w:r>
            <w:r w:rsidRPr="00223459">
              <w:rPr>
                <w:sz w:val="20"/>
                <w:szCs w:val="20"/>
                <w:vertAlign w:val="superscript"/>
              </w:rPr>
              <w:t>c</w:t>
            </w:r>
            <w:proofErr w:type="spellEnd"/>
          </w:p>
        </w:tc>
      </w:tr>
      <w:tr w:rsidR="002A25BF" w:rsidRPr="00223459" w:rsidTr="0069468E">
        <w:trPr>
          <w:trHeight w:val="828"/>
        </w:trPr>
        <w:tc>
          <w:tcPr>
            <w:cnfStyle w:val="001000000000" w:firstRow="0" w:lastRow="0" w:firstColumn="1" w:lastColumn="0" w:oddVBand="0" w:evenVBand="0" w:oddHBand="0" w:evenHBand="0" w:firstRowFirstColumn="0" w:firstRowLastColumn="0" w:lastRowFirstColumn="0" w:lastRowLastColumn="0"/>
            <w:tcW w:w="794" w:type="pct"/>
            <w:vAlign w:val="center"/>
          </w:tcPr>
          <w:p w:rsidR="002A25BF" w:rsidRPr="00223459" w:rsidRDefault="002A25BF" w:rsidP="0069468E">
            <w:pPr>
              <w:widowControl w:val="0"/>
              <w:spacing w:line="240" w:lineRule="auto"/>
              <w:contextualSpacing/>
              <w:jc w:val="center"/>
              <w:rPr>
                <w:b w:val="0"/>
                <w:bCs w:val="0"/>
                <w:sz w:val="20"/>
                <w:szCs w:val="20"/>
              </w:rPr>
            </w:pPr>
            <w:r w:rsidRPr="00223459">
              <w:rPr>
                <w:sz w:val="20"/>
                <w:szCs w:val="20"/>
              </w:rPr>
              <w:t>Phase two</w:t>
            </w:r>
          </w:p>
          <w:p w:rsidR="002A25BF" w:rsidRPr="00223459" w:rsidRDefault="002A25BF" w:rsidP="0069468E">
            <w:pPr>
              <w:widowControl w:val="0"/>
              <w:spacing w:line="240" w:lineRule="auto"/>
              <w:contextualSpacing/>
              <w:jc w:val="center"/>
              <w:rPr>
                <w:i/>
                <w:iCs/>
                <w:sz w:val="20"/>
                <w:szCs w:val="20"/>
              </w:rPr>
            </w:pPr>
            <w:r w:rsidRPr="00223459">
              <w:rPr>
                <w:i/>
                <w:iCs/>
                <w:sz w:val="20"/>
                <w:szCs w:val="20"/>
              </w:rPr>
              <w:t>(15 April – 3 May)</w:t>
            </w:r>
          </w:p>
        </w:tc>
        <w:tc>
          <w:tcPr>
            <w:tcW w:w="2103" w:type="pct"/>
            <w:vAlign w:val="center"/>
          </w:tcPr>
          <w:p w:rsidR="002A25BF" w:rsidRPr="00223459" w:rsidRDefault="002A25BF" w:rsidP="0069468E">
            <w:pPr>
              <w:widowControl w:val="0"/>
              <w:spacing w:line="240" w:lineRule="auto"/>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223459">
              <w:rPr>
                <w:sz w:val="20"/>
                <w:szCs w:val="20"/>
              </w:rPr>
              <w:t>Conditional relaxation promised after 20 April, subject to containment of spread</w:t>
            </w:r>
            <w:r>
              <w:rPr>
                <w:sz w:val="20"/>
                <w:szCs w:val="20"/>
              </w:rPr>
              <w:t>.</w:t>
            </w:r>
            <w:r w:rsidRPr="00223459">
              <w:rPr>
                <w:sz w:val="20"/>
                <w:szCs w:val="20"/>
              </w:rPr>
              <w:t xml:space="preserve"> Lockdown areas classified into red, orange and green zones based on extent of spread of disease</w:t>
            </w:r>
            <w:r>
              <w:rPr>
                <w:sz w:val="20"/>
                <w:szCs w:val="20"/>
              </w:rPr>
              <w:t>.</w:t>
            </w:r>
            <w:r w:rsidRPr="00223459">
              <w:rPr>
                <w:sz w:val="20"/>
                <w:szCs w:val="20"/>
              </w:rPr>
              <w:t xml:space="preserve"> Certain relaxations from 20 April: agricultural businesses, including dairy, aquaculture and plantations allowed </w:t>
            </w:r>
            <w:proofErr w:type="gramStart"/>
            <w:r w:rsidRPr="00223459">
              <w:rPr>
                <w:sz w:val="20"/>
                <w:szCs w:val="20"/>
              </w:rPr>
              <w:t>to open</w:t>
            </w:r>
            <w:proofErr w:type="gramEnd"/>
            <w:r>
              <w:rPr>
                <w:sz w:val="20"/>
                <w:szCs w:val="20"/>
              </w:rPr>
              <w:t>.</w:t>
            </w:r>
            <w:r w:rsidRPr="00223459">
              <w:rPr>
                <w:sz w:val="20"/>
                <w:szCs w:val="20"/>
              </w:rPr>
              <w:t xml:space="preserve"> Cargo transportation vehicles allowed </w:t>
            </w:r>
            <w:proofErr w:type="gramStart"/>
            <w:r w:rsidRPr="00223459">
              <w:rPr>
                <w:sz w:val="20"/>
                <w:szCs w:val="20"/>
              </w:rPr>
              <w:t>to operate</w:t>
            </w:r>
            <w:proofErr w:type="gramEnd"/>
            <w:r>
              <w:rPr>
                <w:sz w:val="20"/>
                <w:szCs w:val="20"/>
              </w:rPr>
              <w:t>.</w:t>
            </w:r>
            <w:r w:rsidRPr="00223459">
              <w:rPr>
                <w:sz w:val="20"/>
                <w:szCs w:val="20"/>
              </w:rPr>
              <w:t xml:space="preserve"> Banks and government centers distributing benefits </w:t>
            </w:r>
            <w:r>
              <w:rPr>
                <w:sz w:val="20"/>
                <w:szCs w:val="20"/>
              </w:rPr>
              <w:t>allowed to</w:t>
            </w:r>
            <w:r w:rsidRPr="00223459">
              <w:rPr>
                <w:sz w:val="20"/>
                <w:szCs w:val="20"/>
              </w:rPr>
              <w:t xml:space="preserve"> open as </w:t>
            </w:r>
            <w:proofErr w:type="spellStart"/>
            <w:r w:rsidRPr="00223459">
              <w:rPr>
                <w:sz w:val="20"/>
                <w:szCs w:val="20"/>
              </w:rPr>
              <w:t>well</w:t>
            </w:r>
            <w:r>
              <w:rPr>
                <w:sz w:val="20"/>
                <w:szCs w:val="20"/>
              </w:rPr>
              <w:t>.</w:t>
            </w:r>
            <w:r w:rsidRPr="00223459">
              <w:rPr>
                <w:sz w:val="20"/>
                <w:szCs w:val="20"/>
                <w:vertAlign w:val="superscript"/>
              </w:rPr>
              <w:t>d</w:t>
            </w:r>
            <w:proofErr w:type="spellEnd"/>
          </w:p>
        </w:tc>
        <w:tc>
          <w:tcPr>
            <w:tcW w:w="2103" w:type="pct"/>
            <w:vAlign w:val="center"/>
          </w:tcPr>
          <w:p w:rsidR="002A25BF" w:rsidRPr="00223459" w:rsidRDefault="002A25BF" w:rsidP="0069468E">
            <w:pPr>
              <w:widowControl w:val="0"/>
              <w:spacing w:line="240" w:lineRule="auto"/>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223459">
              <w:rPr>
                <w:sz w:val="20"/>
                <w:szCs w:val="20"/>
              </w:rPr>
              <w:t>In interest of economic recovery, certain states like Maharashtra chose to allow specific business activities to resume, in addition to national easing of restrictions</w:t>
            </w:r>
            <w:r>
              <w:rPr>
                <w:sz w:val="20"/>
                <w:szCs w:val="20"/>
              </w:rPr>
              <w:t>.</w:t>
            </w:r>
            <w:r w:rsidRPr="00223459">
              <w:rPr>
                <w:sz w:val="20"/>
                <w:szCs w:val="20"/>
              </w:rPr>
              <w:t xml:space="preserve"> Karnataka chose to ease the lockdown in certain areas, while Delhi, Punjab and </w:t>
            </w:r>
            <w:proofErr w:type="spellStart"/>
            <w:r w:rsidRPr="00223459">
              <w:rPr>
                <w:sz w:val="20"/>
                <w:szCs w:val="20"/>
              </w:rPr>
              <w:t>Telengana</w:t>
            </w:r>
            <w:proofErr w:type="spellEnd"/>
            <w:r w:rsidRPr="00223459">
              <w:rPr>
                <w:sz w:val="20"/>
                <w:szCs w:val="20"/>
              </w:rPr>
              <w:t xml:space="preserve"> chose to enforce strict lockdown </w:t>
            </w:r>
            <w:proofErr w:type="spellStart"/>
            <w:r w:rsidRPr="00223459">
              <w:rPr>
                <w:sz w:val="20"/>
                <w:szCs w:val="20"/>
              </w:rPr>
              <w:t>measures</w:t>
            </w:r>
            <w:r>
              <w:rPr>
                <w:sz w:val="20"/>
                <w:szCs w:val="20"/>
              </w:rPr>
              <w:t>.</w:t>
            </w:r>
            <w:r w:rsidRPr="00223459">
              <w:rPr>
                <w:sz w:val="20"/>
                <w:szCs w:val="20"/>
                <w:vertAlign w:val="superscript"/>
              </w:rPr>
              <w:t>e</w:t>
            </w:r>
            <w:proofErr w:type="spellEnd"/>
          </w:p>
        </w:tc>
      </w:tr>
      <w:tr w:rsidR="002A25BF" w:rsidRPr="00223459" w:rsidTr="0069468E">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794" w:type="pct"/>
            <w:vAlign w:val="center"/>
          </w:tcPr>
          <w:p w:rsidR="002A25BF" w:rsidRPr="00223459" w:rsidRDefault="002A25BF" w:rsidP="0069468E">
            <w:pPr>
              <w:widowControl w:val="0"/>
              <w:spacing w:line="240" w:lineRule="auto"/>
              <w:contextualSpacing/>
              <w:jc w:val="center"/>
              <w:rPr>
                <w:b w:val="0"/>
                <w:bCs w:val="0"/>
                <w:sz w:val="20"/>
                <w:szCs w:val="20"/>
              </w:rPr>
            </w:pPr>
            <w:r w:rsidRPr="00223459">
              <w:rPr>
                <w:sz w:val="20"/>
                <w:szCs w:val="20"/>
              </w:rPr>
              <w:t>Phase three</w:t>
            </w:r>
          </w:p>
          <w:p w:rsidR="002A25BF" w:rsidRPr="00223459" w:rsidRDefault="002A25BF" w:rsidP="0069468E">
            <w:pPr>
              <w:widowControl w:val="0"/>
              <w:spacing w:line="240" w:lineRule="auto"/>
              <w:contextualSpacing/>
              <w:jc w:val="center"/>
              <w:rPr>
                <w:i/>
                <w:iCs/>
                <w:sz w:val="20"/>
                <w:szCs w:val="20"/>
              </w:rPr>
            </w:pPr>
            <w:r w:rsidRPr="00223459">
              <w:rPr>
                <w:i/>
                <w:iCs/>
                <w:sz w:val="20"/>
                <w:szCs w:val="20"/>
              </w:rPr>
              <w:t>(4 May – 17 May)</w:t>
            </w:r>
          </w:p>
        </w:tc>
        <w:tc>
          <w:tcPr>
            <w:tcW w:w="2103" w:type="pct"/>
            <w:vAlign w:val="center"/>
          </w:tcPr>
          <w:p w:rsidR="002A25BF" w:rsidRPr="00223459" w:rsidRDefault="002A25BF" w:rsidP="0069468E">
            <w:pPr>
              <w:widowControl w:val="0"/>
              <w:spacing w:line="240" w:lineRule="auto"/>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223459">
              <w:rPr>
                <w:sz w:val="20"/>
                <w:szCs w:val="20"/>
              </w:rPr>
              <w:t>Zonal classification of regions into red, orange and green zones continued, with normal movement allowed in green zones</w:t>
            </w:r>
            <w:r>
              <w:rPr>
                <w:sz w:val="20"/>
                <w:szCs w:val="20"/>
              </w:rPr>
              <w:t>.</w:t>
            </w:r>
            <w:r w:rsidRPr="00223459">
              <w:rPr>
                <w:sz w:val="20"/>
                <w:szCs w:val="20"/>
              </w:rPr>
              <w:t xml:space="preserve"> Movement of private and hired vehicles allowed in orange zones and red zones remain</w:t>
            </w:r>
            <w:r>
              <w:rPr>
                <w:sz w:val="20"/>
                <w:szCs w:val="20"/>
              </w:rPr>
              <w:t>ed</w:t>
            </w:r>
            <w:r w:rsidRPr="00223459">
              <w:rPr>
                <w:sz w:val="20"/>
                <w:szCs w:val="20"/>
              </w:rPr>
              <w:t xml:space="preserve"> in lockdown</w:t>
            </w:r>
            <w:r>
              <w:rPr>
                <w:sz w:val="20"/>
                <w:szCs w:val="20"/>
              </w:rPr>
              <w:t>.</w:t>
            </w:r>
            <w:r w:rsidRPr="00223459">
              <w:rPr>
                <w:sz w:val="20"/>
                <w:szCs w:val="20"/>
              </w:rPr>
              <w:t xml:space="preserve"> Zonal classifications revised on a weekly </w:t>
            </w:r>
            <w:proofErr w:type="spellStart"/>
            <w:r w:rsidRPr="00223459">
              <w:rPr>
                <w:sz w:val="20"/>
                <w:szCs w:val="20"/>
              </w:rPr>
              <w:t>basis</w:t>
            </w:r>
            <w:r>
              <w:rPr>
                <w:sz w:val="20"/>
                <w:szCs w:val="20"/>
              </w:rPr>
              <w:t>.</w:t>
            </w:r>
            <w:r w:rsidRPr="00223459">
              <w:rPr>
                <w:sz w:val="20"/>
                <w:szCs w:val="20"/>
                <w:vertAlign w:val="superscript"/>
              </w:rPr>
              <w:t>f</w:t>
            </w:r>
            <w:proofErr w:type="spellEnd"/>
          </w:p>
        </w:tc>
        <w:tc>
          <w:tcPr>
            <w:tcW w:w="2103" w:type="pct"/>
            <w:vAlign w:val="center"/>
          </w:tcPr>
          <w:p w:rsidR="002A25BF" w:rsidRPr="00223459" w:rsidRDefault="002A25BF" w:rsidP="0069468E">
            <w:pPr>
              <w:widowControl w:val="0"/>
              <w:spacing w:line="240" w:lineRule="auto"/>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223459">
              <w:rPr>
                <w:sz w:val="20"/>
                <w:szCs w:val="20"/>
              </w:rPr>
              <w:t>Delhi allowed public- and private-sector offices to reopen, with social distancing measures in place</w:t>
            </w:r>
            <w:r>
              <w:rPr>
                <w:sz w:val="20"/>
                <w:szCs w:val="20"/>
              </w:rPr>
              <w:t>.</w:t>
            </w:r>
            <w:r w:rsidRPr="00223459">
              <w:rPr>
                <w:sz w:val="20"/>
                <w:szCs w:val="20"/>
              </w:rPr>
              <w:t xml:space="preserve"> Maharashtra eased most industrial and commercial activities</w:t>
            </w:r>
            <w:r>
              <w:rPr>
                <w:sz w:val="20"/>
                <w:szCs w:val="20"/>
              </w:rPr>
              <w:t>.</w:t>
            </w:r>
            <w:r w:rsidRPr="00223459">
              <w:rPr>
                <w:sz w:val="20"/>
                <w:szCs w:val="20"/>
              </w:rPr>
              <w:t xml:space="preserve"> Gujarat, and</w:t>
            </w:r>
            <w:r>
              <w:rPr>
                <w:sz w:val="20"/>
                <w:szCs w:val="20"/>
              </w:rPr>
              <w:t>.</w:t>
            </w:r>
            <w:r w:rsidRPr="00223459">
              <w:rPr>
                <w:sz w:val="20"/>
                <w:szCs w:val="20"/>
              </w:rPr>
              <w:t xml:space="preserve"> Jharkhand allowed no relaxation, while Bihar, Uttar Pradesh, Rajasthan and Madhya Pradesh chose to mostly adhere to guidelines issue</w:t>
            </w:r>
            <w:r>
              <w:rPr>
                <w:sz w:val="20"/>
                <w:szCs w:val="20"/>
              </w:rPr>
              <w:t>d</w:t>
            </w:r>
            <w:r w:rsidRPr="00223459">
              <w:rPr>
                <w:sz w:val="20"/>
                <w:szCs w:val="20"/>
              </w:rPr>
              <w:t xml:space="preserve"> by the Union Home </w:t>
            </w:r>
            <w:proofErr w:type="spellStart"/>
            <w:r w:rsidRPr="00223459">
              <w:rPr>
                <w:sz w:val="20"/>
                <w:szCs w:val="20"/>
              </w:rPr>
              <w:t>Ministry</w:t>
            </w:r>
            <w:r>
              <w:rPr>
                <w:sz w:val="20"/>
                <w:szCs w:val="20"/>
              </w:rPr>
              <w:t>.</w:t>
            </w:r>
            <w:r w:rsidRPr="00223459">
              <w:rPr>
                <w:sz w:val="20"/>
                <w:szCs w:val="20"/>
                <w:vertAlign w:val="superscript"/>
              </w:rPr>
              <w:t>g</w:t>
            </w:r>
            <w:proofErr w:type="spellEnd"/>
          </w:p>
        </w:tc>
      </w:tr>
      <w:tr w:rsidR="002A25BF" w:rsidRPr="00223459" w:rsidTr="0069468E">
        <w:trPr>
          <w:trHeight w:val="828"/>
        </w:trPr>
        <w:tc>
          <w:tcPr>
            <w:cnfStyle w:val="001000000000" w:firstRow="0" w:lastRow="0" w:firstColumn="1" w:lastColumn="0" w:oddVBand="0" w:evenVBand="0" w:oddHBand="0" w:evenHBand="0" w:firstRowFirstColumn="0" w:firstRowLastColumn="0" w:lastRowFirstColumn="0" w:lastRowLastColumn="0"/>
            <w:tcW w:w="794" w:type="pct"/>
            <w:vAlign w:val="center"/>
          </w:tcPr>
          <w:p w:rsidR="002A25BF" w:rsidRPr="00223459" w:rsidRDefault="002A25BF" w:rsidP="0069468E">
            <w:pPr>
              <w:widowControl w:val="0"/>
              <w:spacing w:line="240" w:lineRule="auto"/>
              <w:contextualSpacing/>
              <w:jc w:val="center"/>
              <w:rPr>
                <w:b w:val="0"/>
                <w:bCs w:val="0"/>
                <w:sz w:val="20"/>
                <w:szCs w:val="20"/>
              </w:rPr>
            </w:pPr>
            <w:r w:rsidRPr="00223459">
              <w:rPr>
                <w:sz w:val="20"/>
                <w:szCs w:val="20"/>
              </w:rPr>
              <w:t>Phase four</w:t>
            </w:r>
          </w:p>
          <w:p w:rsidR="002A25BF" w:rsidRPr="00223459" w:rsidRDefault="002A25BF" w:rsidP="0069468E">
            <w:pPr>
              <w:widowControl w:val="0"/>
              <w:spacing w:line="240" w:lineRule="auto"/>
              <w:contextualSpacing/>
              <w:jc w:val="center"/>
              <w:rPr>
                <w:i/>
                <w:iCs/>
                <w:sz w:val="20"/>
                <w:szCs w:val="20"/>
              </w:rPr>
            </w:pPr>
            <w:r w:rsidRPr="00223459">
              <w:rPr>
                <w:i/>
                <w:iCs/>
                <w:sz w:val="20"/>
                <w:szCs w:val="20"/>
              </w:rPr>
              <w:t>(18 May – 31 May)</w:t>
            </w:r>
          </w:p>
        </w:tc>
        <w:tc>
          <w:tcPr>
            <w:tcW w:w="2103" w:type="pct"/>
            <w:vAlign w:val="center"/>
          </w:tcPr>
          <w:p w:rsidR="002A25BF" w:rsidRPr="00223459" w:rsidRDefault="002A25BF" w:rsidP="0069468E">
            <w:pPr>
              <w:widowControl w:val="0"/>
              <w:spacing w:line="240" w:lineRule="auto"/>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223459">
              <w:rPr>
                <w:sz w:val="20"/>
                <w:szCs w:val="20"/>
              </w:rPr>
              <w:t>Unlike the previous phases, states were given a larger say in the demarcation of green, orange and red zones and the implementation roadmap</w:t>
            </w:r>
            <w:r>
              <w:rPr>
                <w:sz w:val="20"/>
                <w:szCs w:val="20"/>
              </w:rPr>
              <w:t>.</w:t>
            </w:r>
            <w:r w:rsidRPr="00223459">
              <w:rPr>
                <w:sz w:val="20"/>
                <w:szCs w:val="20"/>
              </w:rPr>
              <w:t xml:space="preserve"> Red zones were further divided into containment and buffer zones</w:t>
            </w:r>
            <w:r>
              <w:rPr>
                <w:sz w:val="20"/>
                <w:szCs w:val="20"/>
              </w:rPr>
              <w:t>.</w:t>
            </w:r>
            <w:r w:rsidRPr="00223459">
              <w:rPr>
                <w:sz w:val="20"/>
                <w:szCs w:val="20"/>
              </w:rPr>
              <w:t xml:space="preserve"> Local administrative bodies were given the authority to demarcate containment and buffer </w:t>
            </w:r>
            <w:proofErr w:type="spellStart"/>
            <w:r w:rsidRPr="00223459">
              <w:rPr>
                <w:sz w:val="20"/>
                <w:szCs w:val="20"/>
              </w:rPr>
              <w:t>zones</w:t>
            </w:r>
            <w:r>
              <w:rPr>
                <w:sz w:val="20"/>
                <w:szCs w:val="20"/>
              </w:rPr>
              <w:t>.</w:t>
            </w:r>
            <w:r w:rsidRPr="00223459">
              <w:rPr>
                <w:sz w:val="20"/>
                <w:szCs w:val="20"/>
                <w:vertAlign w:val="superscript"/>
              </w:rPr>
              <w:t>h</w:t>
            </w:r>
            <w:proofErr w:type="spellEnd"/>
          </w:p>
        </w:tc>
        <w:tc>
          <w:tcPr>
            <w:tcW w:w="2103" w:type="pct"/>
            <w:vAlign w:val="center"/>
          </w:tcPr>
          <w:p w:rsidR="002A25BF" w:rsidRPr="00223459" w:rsidRDefault="002A25BF" w:rsidP="0069468E">
            <w:pPr>
              <w:widowControl w:val="0"/>
              <w:spacing w:line="240" w:lineRule="auto"/>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Restricted individual movement allowed in Delhi, while Maharashtra, Tamil Nadu and </w:t>
            </w:r>
            <w:proofErr w:type="spellStart"/>
            <w:r>
              <w:rPr>
                <w:sz w:val="20"/>
                <w:szCs w:val="20"/>
              </w:rPr>
              <w:t>Telengana</w:t>
            </w:r>
            <w:proofErr w:type="spellEnd"/>
            <w:r>
              <w:rPr>
                <w:sz w:val="20"/>
                <w:szCs w:val="20"/>
              </w:rPr>
              <w:t xml:space="preserve"> extended the lockdown further. Karnataka allowed public transport with social distancing measures, while West Bengal began easing workplace restrictions. Standalone shops were allowed to open for short </w:t>
            </w:r>
            <w:proofErr w:type="spellStart"/>
            <w:r>
              <w:rPr>
                <w:sz w:val="20"/>
                <w:szCs w:val="20"/>
              </w:rPr>
              <w:t>durations.</w:t>
            </w:r>
            <w:r w:rsidRPr="000F5149">
              <w:rPr>
                <w:sz w:val="20"/>
                <w:szCs w:val="20"/>
                <w:vertAlign w:val="superscript"/>
              </w:rPr>
              <w:t>i</w:t>
            </w:r>
            <w:proofErr w:type="spellEnd"/>
          </w:p>
        </w:tc>
      </w:tr>
    </w:tbl>
    <w:p w:rsidR="002A25BF" w:rsidRPr="00223459" w:rsidRDefault="002A25BF" w:rsidP="002A25BF">
      <w:pPr>
        <w:pStyle w:val="ListParagraph"/>
        <w:widowControl w:val="0"/>
        <w:numPr>
          <w:ilvl w:val="0"/>
          <w:numId w:val="2"/>
        </w:numPr>
        <w:spacing w:after="0" w:line="240" w:lineRule="auto"/>
        <w:jc w:val="both"/>
        <w:rPr>
          <w:sz w:val="16"/>
          <w:szCs w:val="16"/>
        </w:rPr>
      </w:pPr>
      <w:r w:rsidRPr="00223459">
        <w:rPr>
          <w:sz w:val="16"/>
          <w:szCs w:val="16"/>
        </w:rPr>
        <w:t xml:space="preserve"> Guidelines on measures to be undertaken by ministries/departments of Government of India, State/Union Territory Governments and State/Union Territory Authorities for containment of COVID-19 epidemic in the Country (https://www</w:t>
      </w:r>
      <w:r>
        <w:rPr>
          <w:sz w:val="16"/>
          <w:szCs w:val="16"/>
        </w:rPr>
        <w:t>.</w:t>
      </w:r>
      <w:r w:rsidRPr="00223459">
        <w:rPr>
          <w:sz w:val="16"/>
          <w:szCs w:val="16"/>
        </w:rPr>
        <w:t>mha</w:t>
      </w:r>
      <w:r>
        <w:rPr>
          <w:sz w:val="16"/>
          <w:szCs w:val="16"/>
        </w:rPr>
        <w:t>.</w:t>
      </w:r>
      <w:r w:rsidRPr="00223459">
        <w:rPr>
          <w:sz w:val="16"/>
          <w:szCs w:val="16"/>
        </w:rPr>
        <w:t>gov</w:t>
      </w:r>
      <w:r>
        <w:rPr>
          <w:sz w:val="16"/>
          <w:szCs w:val="16"/>
        </w:rPr>
        <w:t>.</w:t>
      </w:r>
      <w:r w:rsidRPr="00223459">
        <w:rPr>
          <w:sz w:val="16"/>
          <w:szCs w:val="16"/>
        </w:rPr>
        <w:t>in/sites/default/files/Guidelines</w:t>
      </w:r>
      <w:r>
        <w:rPr>
          <w:sz w:val="16"/>
          <w:szCs w:val="16"/>
        </w:rPr>
        <w:t>.</w:t>
      </w:r>
      <w:r w:rsidRPr="00223459">
        <w:rPr>
          <w:sz w:val="16"/>
          <w:szCs w:val="16"/>
        </w:rPr>
        <w:t>pdf)</w:t>
      </w:r>
    </w:p>
    <w:p w:rsidR="002A25BF" w:rsidRPr="00223459" w:rsidRDefault="002A25BF" w:rsidP="002A25BF">
      <w:pPr>
        <w:pStyle w:val="ListParagraph"/>
        <w:widowControl w:val="0"/>
        <w:numPr>
          <w:ilvl w:val="0"/>
          <w:numId w:val="2"/>
        </w:numPr>
        <w:spacing w:after="0" w:line="240" w:lineRule="auto"/>
        <w:jc w:val="both"/>
        <w:rPr>
          <w:sz w:val="16"/>
          <w:szCs w:val="16"/>
        </w:rPr>
      </w:pPr>
      <w:r w:rsidRPr="00223459">
        <w:rPr>
          <w:sz w:val="16"/>
          <w:szCs w:val="16"/>
        </w:rPr>
        <w:t xml:space="preserve">The Economic Times: India's 21-day lockdown to counter coronavirus: What's exempt, what's not, </w:t>
      </w:r>
      <w:r w:rsidRPr="00223459">
        <w:rPr>
          <w:i/>
          <w:iCs/>
          <w:sz w:val="16"/>
          <w:szCs w:val="16"/>
        </w:rPr>
        <w:t>25 March 2020</w:t>
      </w:r>
      <w:r w:rsidRPr="00223459">
        <w:rPr>
          <w:sz w:val="16"/>
          <w:szCs w:val="16"/>
        </w:rPr>
        <w:t xml:space="preserve"> (https://economictimes</w:t>
      </w:r>
      <w:r>
        <w:rPr>
          <w:sz w:val="16"/>
          <w:szCs w:val="16"/>
        </w:rPr>
        <w:t>.</w:t>
      </w:r>
      <w:r w:rsidRPr="00223459">
        <w:rPr>
          <w:sz w:val="16"/>
          <w:szCs w:val="16"/>
        </w:rPr>
        <w:t>indiatimes</w:t>
      </w:r>
      <w:r>
        <w:rPr>
          <w:sz w:val="16"/>
          <w:szCs w:val="16"/>
        </w:rPr>
        <w:t>.</w:t>
      </w:r>
      <w:r w:rsidRPr="00223459">
        <w:rPr>
          <w:sz w:val="16"/>
          <w:szCs w:val="16"/>
        </w:rPr>
        <w:t>com/news/politics-and-nation/india-21-day-lockdown-what-is-exempted-what-is-not/articleshow/74798725</w:t>
      </w:r>
      <w:r>
        <w:rPr>
          <w:sz w:val="16"/>
          <w:szCs w:val="16"/>
        </w:rPr>
        <w:t>.</w:t>
      </w:r>
      <w:r w:rsidRPr="00223459">
        <w:rPr>
          <w:sz w:val="16"/>
          <w:szCs w:val="16"/>
        </w:rPr>
        <w:t>cms)</w:t>
      </w:r>
    </w:p>
    <w:p w:rsidR="002A25BF" w:rsidRPr="00223459" w:rsidRDefault="002A25BF" w:rsidP="002A25BF">
      <w:pPr>
        <w:pStyle w:val="ListParagraph"/>
        <w:widowControl w:val="0"/>
        <w:numPr>
          <w:ilvl w:val="0"/>
          <w:numId w:val="2"/>
        </w:numPr>
        <w:spacing w:after="0" w:line="240" w:lineRule="auto"/>
        <w:jc w:val="both"/>
        <w:rPr>
          <w:sz w:val="16"/>
          <w:szCs w:val="16"/>
        </w:rPr>
      </w:pPr>
      <w:r w:rsidRPr="00223459">
        <w:rPr>
          <w:sz w:val="16"/>
          <w:szCs w:val="16"/>
        </w:rPr>
        <w:t xml:space="preserve">Wikipedia   </w:t>
      </w:r>
      <w:hyperlink r:id="rId6" w:history="1">
        <w:r w:rsidRPr="00223459">
          <w:rPr>
            <w:rStyle w:val="Hyperlink"/>
            <w:sz w:val="16"/>
            <w:szCs w:val="16"/>
          </w:rPr>
          <w:t>https://en</w:t>
        </w:r>
        <w:r>
          <w:rPr>
            <w:rStyle w:val="Hyperlink"/>
            <w:sz w:val="16"/>
            <w:szCs w:val="16"/>
          </w:rPr>
          <w:t>.</w:t>
        </w:r>
        <w:r w:rsidRPr="00223459">
          <w:rPr>
            <w:rStyle w:val="Hyperlink"/>
            <w:sz w:val="16"/>
            <w:szCs w:val="16"/>
          </w:rPr>
          <w:t>wikipedia</w:t>
        </w:r>
        <w:r>
          <w:rPr>
            <w:rStyle w:val="Hyperlink"/>
            <w:sz w:val="16"/>
            <w:szCs w:val="16"/>
          </w:rPr>
          <w:t>.</w:t>
        </w:r>
        <w:r w:rsidRPr="00223459">
          <w:rPr>
            <w:rStyle w:val="Hyperlink"/>
            <w:sz w:val="16"/>
            <w:szCs w:val="16"/>
          </w:rPr>
          <w:t>org/wiki/Indian_state_government_responses_to_the_COVID-19_pandemic</w:t>
        </w:r>
      </w:hyperlink>
    </w:p>
    <w:p w:rsidR="002A25BF" w:rsidRPr="00223459" w:rsidRDefault="002A25BF" w:rsidP="002A25BF">
      <w:pPr>
        <w:pStyle w:val="ListParagraph"/>
        <w:widowControl w:val="0"/>
        <w:numPr>
          <w:ilvl w:val="0"/>
          <w:numId w:val="2"/>
        </w:numPr>
        <w:spacing w:after="0" w:line="240" w:lineRule="auto"/>
        <w:jc w:val="both"/>
        <w:rPr>
          <w:sz w:val="16"/>
          <w:szCs w:val="16"/>
        </w:rPr>
      </w:pPr>
      <w:r w:rsidRPr="00223459">
        <w:rPr>
          <w:sz w:val="16"/>
          <w:szCs w:val="16"/>
        </w:rPr>
        <w:t xml:space="preserve">BBC: Coronavirus lockdown guidelines: What has India changed under new rules? </w:t>
      </w:r>
      <w:r w:rsidRPr="00223459">
        <w:rPr>
          <w:i/>
          <w:sz w:val="16"/>
          <w:szCs w:val="16"/>
        </w:rPr>
        <w:t>April 15, 2020 (</w:t>
      </w:r>
      <w:hyperlink r:id="rId7" w:history="1">
        <w:r w:rsidRPr="00223459">
          <w:rPr>
            <w:rStyle w:val="Hyperlink"/>
            <w:i/>
            <w:sz w:val="16"/>
            <w:szCs w:val="16"/>
          </w:rPr>
          <w:t>https://www</w:t>
        </w:r>
        <w:r>
          <w:rPr>
            <w:rStyle w:val="Hyperlink"/>
            <w:i/>
            <w:sz w:val="16"/>
            <w:szCs w:val="16"/>
          </w:rPr>
          <w:t>.</w:t>
        </w:r>
        <w:r w:rsidRPr="00223459">
          <w:rPr>
            <w:rStyle w:val="Hyperlink"/>
            <w:i/>
            <w:sz w:val="16"/>
            <w:szCs w:val="16"/>
          </w:rPr>
          <w:t>bbc</w:t>
        </w:r>
        <w:r>
          <w:rPr>
            <w:rStyle w:val="Hyperlink"/>
            <w:i/>
            <w:sz w:val="16"/>
            <w:szCs w:val="16"/>
          </w:rPr>
          <w:t>.</w:t>
        </w:r>
        <w:r w:rsidRPr="00223459">
          <w:rPr>
            <w:rStyle w:val="Hyperlink"/>
            <w:i/>
            <w:sz w:val="16"/>
            <w:szCs w:val="16"/>
          </w:rPr>
          <w:t>com/news/world-asia-india-52290761</w:t>
        </w:r>
      </w:hyperlink>
      <w:r w:rsidRPr="00223459">
        <w:rPr>
          <w:i/>
          <w:sz w:val="16"/>
          <w:szCs w:val="16"/>
        </w:rPr>
        <w:t>)</w:t>
      </w:r>
    </w:p>
    <w:p w:rsidR="002A25BF" w:rsidRPr="00223459" w:rsidRDefault="002A25BF" w:rsidP="002A25BF">
      <w:pPr>
        <w:pStyle w:val="ListParagraph"/>
        <w:widowControl w:val="0"/>
        <w:numPr>
          <w:ilvl w:val="0"/>
          <w:numId w:val="2"/>
        </w:numPr>
        <w:spacing w:after="0" w:line="240" w:lineRule="auto"/>
        <w:jc w:val="both"/>
        <w:rPr>
          <w:sz w:val="16"/>
          <w:szCs w:val="16"/>
        </w:rPr>
      </w:pPr>
      <w:r w:rsidRPr="00223459">
        <w:rPr>
          <w:sz w:val="16"/>
          <w:szCs w:val="16"/>
        </w:rPr>
        <w:t>Hindustan Times: Complete list of states with no relaxation in lockdown 2</w:t>
      </w:r>
      <w:r>
        <w:rPr>
          <w:sz w:val="16"/>
          <w:szCs w:val="16"/>
        </w:rPr>
        <w:t>.</w:t>
      </w:r>
      <w:r w:rsidRPr="00223459">
        <w:rPr>
          <w:sz w:val="16"/>
          <w:szCs w:val="16"/>
        </w:rPr>
        <w:t xml:space="preserve">0 restrictions </w:t>
      </w:r>
      <w:r w:rsidRPr="00223459">
        <w:rPr>
          <w:i/>
          <w:iCs/>
          <w:sz w:val="16"/>
          <w:szCs w:val="16"/>
        </w:rPr>
        <w:t>20 April 2020</w:t>
      </w:r>
      <w:r w:rsidRPr="00223459">
        <w:rPr>
          <w:sz w:val="16"/>
          <w:szCs w:val="16"/>
        </w:rPr>
        <w:t xml:space="preserve"> (https://www</w:t>
      </w:r>
      <w:r>
        <w:rPr>
          <w:sz w:val="16"/>
          <w:szCs w:val="16"/>
        </w:rPr>
        <w:t>.</w:t>
      </w:r>
      <w:r w:rsidRPr="00223459">
        <w:rPr>
          <w:sz w:val="16"/>
          <w:szCs w:val="16"/>
        </w:rPr>
        <w:t>hindustantimes</w:t>
      </w:r>
      <w:r>
        <w:rPr>
          <w:sz w:val="16"/>
          <w:szCs w:val="16"/>
        </w:rPr>
        <w:t>.</w:t>
      </w:r>
      <w:r w:rsidRPr="00223459">
        <w:rPr>
          <w:sz w:val="16"/>
          <w:szCs w:val="16"/>
        </w:rPr>
        <w:t>com/india-news/complete-list-of-states-with-no-covid-19-lockdown-2-0-relaxation/story-pfE5K3Pn5LSZrgFEvC84hO</w:t>
      </w:r>
      <w:r>
        <w:rPr>
          <w:sz w:val="16"/>
          <w:szCs w:val="16"/>
        </w:rPr>
        <w:t>.</w:t>
      </w:r>
      <w:r w:rsidRPr="00223459">
        <w:rPr>
          <w:sz w:val="16"/>
          <w:szCs w:val="16"/>
        </w:rPr>
        <w:t>html)</w:t>
      </w:r>
    </w:p>
    <w:p w:rsidR="002A25BF" w:rsidRPr="00223459" w:rsidRDefault="002A25BF" w:rsidP="002A25BF">
      <w:pPr>
        <w:pStyle w:val="ListParagraph"/>
        <w:widowControl w:val="0"/>
        <w:numPr>
          <w:ilvl w:val="0"/>
          <w:numId w:val="2"/>
        </w:numPr>
        <w:spacing w:after="0" w:line="240" w:lineRule="auto"/>
        <w:jc w:val="both"/>
        <w:rPr>
          <w:sz w:val="16"/>
          <w:szCs w:val="16"/>
        </w:rPr>
      </w:pPr>
      <w:r w:rsidRPr="00223459">
        <w:rPr>
          <w:sz w:val="16"/>
          <w:szCs w:val="16"/>
        </w:rPr>
        <w:t>India Today: Full list of Red, Yellow, Green Zone districts for Lockdown 3</w:t>
      </w:r>
      <w:r>
        <w:rPr>
          <w:sz w:val="16"/>
          <w:szCs w:val="16"/>
        </w:rPr>
        <w:t>.</w:t>
      </w:r>
      <w:r w:rsidRPr="00223459">
        <w:rPr>
          <w:sz w:val="16"/>
          <w:szCs w:val="16"/>
        </w:rPr>
        <w:t xml:space="preserve">0, </w:t>
      </w:r>
      <w:r w:rsidRPr="00223459">
        <w:rPr>
          <w:i/>
          <w:iCs/>
          <w:sz w:val="16"/>
          <w:szCs w:val="16"/>
        </w:rPr>
        <w:t>1 May 2020</w:t>
      </w:r>
      <w:r w:rsidRPr="00223459">
        <w:rPr>
          <w:sz w:val="16"/>
          <w:szCs w:val="16"/>
        </w:rPr>
        <w:t xml:space="preserve"> (https://www</w:t>
      </w:r>
      <w:r>
        <w:rPr>
          <w:sz w:val="16"/>
          <w:szCs w:val="16"/>
        </w:rPr>
        <w:t>.</w:t>
      </w:r>
      <w:r w:rsidRPr="00223459">
        <w:rPr>
          <w:sz w:val="16"/>
          <w:szCs w:val="16"/>
        </w:rPr>
        <w:t>indiatoday</w:t>
      </w:r>
      <w:r>
        <w:rPr>
          <w:sz w:val="16"/>
          <w:szCs w:val="16"/>
        </w:rPr>
        <w:t>.</w:t>
      </w:r>
      <w:r w:rsidRPr="00223459">
        <w:rPr>
          <w:sz w:val="16"/>
          <w:szCs w:val="16"/>
        </w:rPr>
        <w:t>in/india/story/red-orange-green-zones-full-current-update-list-districts-states-india-coronavirus-1673358-2020-05-01)</w:t>
      </w:r>
    </w:p>
    <w:p w:rsidR="002A25BF" w:rsidRPr="00223459" w:rsidRDefault="002A25BF" w:rsidP="002A25BF">
      <w:pPr>
        <w:pStyle w:val="ListParagraph"/>
        <w:widowControl w:val="0"/>
        <w:numPr>
          <w:ilvl w:val="0"/>
          <w:numId w:val="2"/>
        </w:numPr>
        <w:spacing w:after="0" w:line="240" w:lineRule="auto"/>
        <w:jc w:val="both"/>
        <w:rPr>
          <w:sz w:val="16"/>
          <w:szCs w:val="16"/>
        </w:rPr>
      </w:pPr>
      <w:r w:rsidRPr="00223459">
        <w:rPr>
          <w:sz w:val="16"/>
          <w:szCs w:val="16"/>
        </w:rPr>
        <w:t>Hindustan Times: Covid-19 lockdown 3</w:t>
      </w:r>
      <w:r>
        <w:rPr>
          <w:sz w:val="16"/>
          <w:szCs w:val="16"/>
        </w:rPr>
        <w:t>.</w:t>
      </w:r>
      <w:r w:rsidRPr="00223459">
        <w:rPr>
          <w:sz w:val="16"/>
          <w:szCs w:val="16"/>
        </w:rPr>
        <w:t xml:space="preserve">0: A look at relaxations, restrictions across major states in India, </w:t>
      </w:r>
      <w:r w:rsidRPr="00223459">
        <w:rPr>
          <w:i/>
          <w:iCs/>
          <w:sz w:val="16"/>
          <w:szCs w:val="16"/>
        </w:rPr>
        <w:t>4 May 2020</w:t>
      </w:r>
      <w:r w:rsidRPr="00223459">
        <w:rPr>
          <w:sz w:val="16"/>
          <w:szCs w:val="16"/>
        </w:rPr>
        <w:t xml:space="preserve"> (https://www</w:t>
      </w:r>
      <w:r>
        <w:rPr>
          <w:sz w:val="16"/>
          <w:szCs w:val="16"/>
        </w:rPr>
        <w:t>.</w:t>
      </w:r>
      <w:r w:rsidRPr="00223459">
        <w:rPr>
          <w:sz w:val="16"/>
          <w:szCs w:val="16"/>
        </w:rPr>
        <w:t>hindustantimes</w:t>
      </w:r>
      <w:r>
        <w:rPr>
          <w:sz w:val="16"/>
          <w:szCs w:val="16"/>
        </w:rPr>
        <w:t>.</w:t>
      </w:r>
      <w:r w:rsidRPr="00223459">
        <w:rPr>
          <w:sz w:val="16"/>
          <w:szCs w:val="16"/>
        </w:rPr>
        <w:t>com/india-news/coronavirus-update-covid-19-lockdown-3-0-a-look-at-relaxations-restrictions-across-major-states-in-india/story-J5Z2IypwiagUTFf1wYW0jN</w:t>
      </w:r>
      <w:r>
        <w:rPr>
          <w:sz w:val="16"/>
          <w:szCs w:val="16"/>
        </w:rPr>
        <w:t>.</w:t>
      </w:r>
      <w:r w:rsidRPr="00223459">
        <w:rPr>
          <w:sz w:val="16"/>
          <w:szCs w:val="16"/>
        </w:rPr>
        <w:t>html)</w:t>
      </w:r>
    </w:p>
    <w:p w:rsidR="002A25BF" w:rsidRPr="00223459" w:rsidRDefault="002A25BF" w:rsidP="002A25BF">
      <w:pPr>
        <w:pStyle w:val="ListParagraph"/>
        <w:widowControl w:val="0"/>
        <w:numPr>
          <w:ilvl w:val="0"/>
          <w:numId w:val="2"/>
        </w:numPr>
        <w:spacing w:after="0" w:line="240" w:lineRule="auto"/>
        <w:jc w:val="both"/>
        <w:rPr>
          <w:sz w:val="16"/>
          <w:szCs w:val="16"/>
        </w:rPr>
      </w:pPr>
      <w:r w:rsidRPr="00223459">
        <w:rPr>
          <w:sz w:val="16"/>
          <w:szCs w:val="16"/>
        </w:rPr>
        <w:t>The Economic Times: Lockdown 4</w:t>
      </w:r>
      <w:r>
        <w:rPr>
          <w:sz w:val="16"/>
          <w:szCs w:val="16"/>
        </w:rPr>
        <w:t>.</w:t>
      </w:r>
      <w:r w:rsidRPr="00223459">
        <w:rPr>
          <w:sz w:val="16"/>
          <w:szCs w:val="16"/>
        </w:rPr>
        <w:t xml:space="preserve">0 guidelines: Nationwide lockdown extended till May 31, with considerable relaxations, </w:t>
      </w:r>
      <w:r w:rsidRPr="00223459">
        <w:rPr>
          <w:i/>
          <w:iCs/>
          <w:sz w:val="16"/>
          <w:szCs w:val="16"/>
        </w:rPr>
        <w:t>21 May 2020</w:t>
      </w:r>
      <w:r w:rsidRPr="00223459">
        <w:rPr>
          <w:sz w:val="16"/>
          <w:szCs w:val="16"/>
        </w:rPr>
        <w:t xml:space="preserve"> (https://economictimes</w:t>
      </w:r>
      <w:r>
        <w:rPr>
          <w:sz w:val="16"/>
          <w:szCs w:val="16"/>
        </w:rPr>
        <w:t>.</w:t>
      </w:r>
      <w:r w:rsidRPr="00223459">
        <w:rPr>
          <w:sz w:val="16"/>
          <w:szCs w:val="16"/>
        </w:rPr>
        <w:t>indiatimes</w:t>
      </w:r>
      <w:r>
        <w:rPr>
          <w:sz w:val="16"/>
          <w:szCs w:val="16"/>
        </w:rPr>
        <w:t>.</w:t>
      </w:r>
      <w:r w:rsidRPr="00223459">
        <w:rPr>
          <w:sz w:val="16"/>
          <w:szCs w:val="16"/>
        </w:rPr>
        <w:t>com/news/politics-and-nation/centre-extends-nationwide-lockdown-till-may-31-with-considerable-relaxations/articleshow/75790821</w:t>
      </w:r>
      <w:r>
        <w:rPr>
          <w:sz w:val="16"/>
          <w:szCs w:val="16"/>
        </w:rPr>
        <w:t>.</w:t>
      </w:r>
      <w:r w:rsidRPr="00223459">
        <w:rPr>
          <w:sz w:val="16"/>
          <w:szCs w:val="16"/>
        </w:rPr>
        <w:t>cms)</w:t>
      </w:r>
    </w:p>
    <w:p w:rsidR="002A25BF" w:rsidRPr="00223459" w:rsidRDefault="002A25BF" w:rsidP="002A25BF">
      <w:pPr>
        <w:pStyle w:val="ListParagraph"/>
        <w:widowControl w:val="0"/>
        <w:numPr>
          <w:ilvl w:val="0"/>
          <w:numId w:val="2"/>
        </w:numPr>
        <w:spacing w:after="0" w:line="240" w:lineRule="auto"/>
        <w:jc w:val="both"/>
        <w:rPr>
          <w:sz w:val="16"/>
          <w:szCs w:val="16"/>
        </w:rPr>
        <w:sectPr w:rsidR="002A25BF" w:rsidRPr="00223459" w:rsidSect="009547FA">
          <w:pgSz w:w="15840" w:h="12240" w:orient="landscape"/>
          <w:pgMar w:top="1134" w:right="1693" w:bottom="1134" w:left="1134" w:header="0" w:footer="1134" w:gutter="0"/>
          <w:cols w:space="720"/>
          <w:formProt w:val="0"/>
          <w:docGrid w:linePitch="326"/>
        </w:sectPr>
      </w:pPr>
      <w:r w:rsidRPr="00223459">
        <w:rPr>
          <w:sz w:val="16"/>
          <w:szCs w:val="16"/>
        </w:rPr>
        <w:t>BBC: India lockdown 4</w:t>
      </w:r>
      <w:r>
        <w:rPr>
          <w:sz w:val="16"/>
          <w:szCs w:val="16"/>
        </w:rPr>
        <w:t>.</w:t>
      </w:r>
      <w:r w:rsidRPr="00223459">
        <w:rPr>
          <w:sz w:val="16"/>
          <w:szCs w:val="16"/>
        </w:rPr>
        <w:t xml:space="preserve">0: What is allowed in your city? </w:t>
      </w:r>
      <w:r w:rsidRPr="00223459">
        <w:rPr>
          <w:i/>
          <w:iCs/>
          <w:sz w:val="16"/>
          <w:szCs w:val="16"/>
        </w:rPr>
        <w:t>19 May 2020</w:t>
      </w:r>
      <w:r w:rsidRPr="00223459">
        <w:rPr>
          <w:sz w:val="16"/>
          <w:szCs w:val="16"/>
        </w:rPr>
        <w:t xml:space="preserve"> (https://www</w:t>
      </w:r>
      <w:r>
        <w:rPr>
          <w:sz w:val="16"/>
          <w:szCs w:val="16"/>
        </w:rPr>
        <w:t>.</w:t>
      </w:r>
      <w:r w:rsidRPr="00223459">
        <w:rPr>
          <w:sz w:val="16"/>
          <w:szCs w:val="16"/>
        </w:rPr>
        <w:t>bbc</w:t>
      </w:r>
      <w:r>
        <w:rPr>
          <w:sz w:val="16"/>
          <w:szCs w:val="16"/>
        </w:rPr>
        <w:t>.</w:t>
      </w:r>
      <w:r w:rsidRPr="00223459">
        <w:rPr>
          <w:sz w:val="16"/>
          <w:szCs w:val="16"/>
        </w:rPr>
        <w:t>com/news/world-asia-india-52707371</w:t>
      </w:r>
      <w:r>
        <w:rPr>
          <w:sz w:val="16"/>
          <w:szCs w:val="16"/>
        </w:rPr>
        <w:t>)</w:t>
      </w:r>
    </w:p>
    <w:p w:rsidR="009659B2" w:rsidRDefault="009659B2">
      <w:bookmarkStart w:id="0" w:name="_GoBack"/>
      <w:bookmarkEnd w:id="0"/>
    </w:p>
    <w:sectPr w:rsidR="00965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AR PL SungtiL GB">
    <w:charset w:val="00"/>
    <w:family w:val="roman"/>
    <w:pitch w:val="default"/>
  </w:font>
  <w:font w:name="Lohit Devanagari">
    <w:altName w:val="Times New Roman"/>
    <w:charset w:val="00"/>
    <w:family w:val="roman"/>
    <w:pitch w:val="default"/>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A4DDF"/>
    <w:multiLevelType w:val="hybridMultilevel"/>
    <w:tmpl w:val="45564D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FF3E29"/>
    <w:multiLevelType w:val="hybridMultilevel"/>
    <w:tmpl w:val="084E0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5BF"/>
    <w:rsid w:val="000409DE"/>
    <w:rsid w:val="00095CF3"/>
    <w:rsid w:val="002A25BF"/>
    <w:rsid w:val="00336959"/>
    <w:rsid w:val="009659B2"/>
    <w:rsid w:val="00EA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2A25BF"/>
    <w:pPr>
      <w:suppressLineNumbers/>
      <w:spacing w:before="120" w:after="120"/>
    </w:pPr>
    <w:rPr>
      <w:rFonts w:ascii="Liberation Serif" w:eastAsia="AR PL SungtiL GB" w:hAnsi="Liberation Serif" w:cs="Lohit Devanagari"/>
      <w:i/>
      <w:iCs/>
      <w:kern w:val="2"/>
      <w:sz w:val="24"/>
      <w:szCs w:val="24"/>
      <w:lang w:eastAsia="zh-CN" w:bidi="hi-IN"/>
    </w:rPr>
  </w:style>
  <w:style w:type="character" w:styleId="Hyperlink">
    <w:name w:val="Hyperlink"/>
    <w:basedOn w:val="DefaultParagraphFont"/>
    <w:uiPriority w:val="99"/>
    <w:unhideWhenUsed/>
    <w:rsid w:val="002A25BF"/>
    <w:rPr>
      <w:color w:val="0000FF" w:themeColor="hyperlink"/>
      <w:u w:val="single"/>
    </w:rPr>
  </w:style>
  <w:style w:type="paragraph" w:styleId="ListParagraph">
    <w:name w:val="List Paragraph"/>
    <w:basedOn w:val="Normal"/>
    <w:uiPriority w:val="34"/>
    <w:qFormat/>
    <w:rsid w:val="002A25BF"/>
    <w:pPr>
      <w:ind w:left="720"/>
      <w:contextualSpacing/>
    </w:pPr>
    <w:rPr>
      <w:rFonts w:ascii="Liberation Serif" w:eastAsia="AR PL SungtiL GB" w:hAnsi="Liberation Serif" w:cs="Mangal"/>
      <w:kern w:val="2"/>
      <w:sz w:val="24"/>
      <w:szCs w:val="21"/>
      <w:lang w:eastAsia="zh-CN" w:bidi="hi-IN"/>
    </w:rPr>
  </w:style>
  <w:style w:type="table" w:styleId="TableGrid">
    <w:name w:val="Table Grid"/>
    <w:basedOn w:val="TableNormal"/>
    <w:uiPriority w:val="39"/>
    <w:rsid w:val="002A25BF"/>
    <w:rPr>
      <w:rFonts w:ascii="Times New Roman" w:eastAsia="SimSun" w:hAnsi="Times New Roman" w:cs="Times New Roman"/>
      <w:sz w:val="24"/>
      <w:szCs w:val="24"/>
      <w:lang w:bidi="b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2A25BF"/>
    <w:rPr>
      <w:rFonts w:ascii="Times New Roman" w:eastAsia="SimSun" w:hAnsi="Times New Roman" w:cs="Times New Roman"/>
      <w:sz w:val="24"/>
      <w:szCs w:val="24"/>
      <w:lang w:bidi="b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2A2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5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2A25BF"/>
    <w:pPr>
      <w:suppressLineNumbers/>
      <w:spacing w:before="120" w:after="120"/>
    </w:pPr>
    <w:rPr>
      <w:rFonts w:ascii="Liberation Serif" w:eastAsia="AR PL SungtiL GB" w:hAnsi="Liberation Serif" w:cs="Lohit Devanagari"/>
      <w:i/>
      <w:iCs/>
      <w:kern w:val="2"/>
      <w:sz w:val="24"/>
      <w:szCs w:val="24"/>
      <w:lang w:eastAsia="zh-CN" w:bidi="hi-IN"/>
    </w:rPr>
  </w:style>
  <w:style w:type="character" w:styleId="Hyperlink">
    <w:name w:val="Hyperlink"/>
    <w:basedOn w:val="DefaultParagraphFont"/>
    <w:uiPriority w:val="99"/>
    <w:unhideWhenUsed/>
    <w:rsid w:val="002A25BF"/>
    <w:rPr>
      <w:color w:val="0000FF" w:themeColor="hyperlink"/>
      <w:u w:val="single"/>
    </w:rPr>
  </w:style>
  <w:style w:type="paragraph" w:styleId="ListParagraph">
    <w:name w:val="List Paragraph"/>
    <w:basedOn w:val="Normal"/>
    <w:uiPriority w:val="34"/>
    <w:qFormat/>
    <w:rsid w:val="002A25BF"/>
    <w:pPr>
      <w:ind w:left="720"/>
      <w:contextualSpacing/>
    </w:pPr>
    <w:rPr>
      <w:rFonts w:ascii="Liberation Serif" w:eastAsia="AR PL SungtiL GB" w:hAnsi="Liberation Serif" w:cs="Mangal"/>
      <w:kern w:val="2"/>
      <w:sz w:val="24"/>
      <w:szCs w:val="21"/>
      <w:lang w:eastAsia="zh-CN" w:bidi="hi-IN"/>
    </w:rPr>
  </w:style>
  <w:style w:type="table" w:styleId="TableGrid">
    <w:name w:val="Table Grid"/>
    <w:basedOn w:val="TableNormal"/>
    <w:uiPriority w:val="39"/>
    <w:rsid w:val="002A25BF"/>
    <w:rPr>
      <w:rFonts w:ascii="Times New Roman" w:eastAsia="SimSun" w:hAnsi="Times New Roman" w:cs="Times New Roman"/>
      <w:sz w:val="24"/>
      <w:szCs w:val="24"/>
      <w:lang w:bidi="b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2A25BF"/>
    <w:rPr>
      <w:rFonts w:ascii="Times New Roman" w:eastAsia="SimSun" w:hAnsi="Times New Roman" w:cs="Times New Roman"/>
      <w:sz w:val="24"/>
      <w:szCs w:val="24"/>
      <w:lang w:bidi="b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2A2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5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bbc.com/news/world-asia-india-522907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dian_state_government_responses_to_the_COVID-19_pandemi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MPABLEO</dc:creator>
  <cp:lastModifiedBy>MPABLEO</cp:lastModifiedBy>
  <cp:revision>1</cp:revision>
  <dcterms:created xsi:type="dcterms:W3CDTF">2021-04-22T08:49:00Z</dcterms:created>
  <dcterms:modified xsi:type="dcterms:W3CDTF">2021-04-22T08:50:00Z</dcterms:modified>
</cp:coreProperties>
</file>