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FIDES</w:t>
      </w:r>
    </w:p>
    <w:p>
      <w:r>
        <w:t>API SPECIFICATION &amp; CONTRACT — v1.0</w:t>
      </w:r>
    </w:p>
    <w:p>
      <w:pPr>
        <w:pStyle w:val="Heading1"/>
      </w:pPr>
      <w:r>
        <w:t>0. Purpose</w:t>
      </w:r>
    </w:p>
    <w:p>
      <w:r>
        <w:t>Shared FastAPI backend contract for React Native mobile and Next.js web. Relationship is separate from Commitment; multiple independent commitments may exist between the same users in either direction.</w:t>
      </w:r>
    </w:p>
    <w:p>
      <w:pPr>
        <w:pStyle w:val="Heading1"/>
      </w:pPr>
      <w:r>
        <w:t>1. API Rules</w:t>
      </w:r>
    </w:p>
    <w:p>
      <w:r>
        <w:t>REST/JSON over HTTPS; /api/v1; server-authoritative balances and state; integer minor-unit money + ISO currency; UTC timestamps; every repayment targets exactly one commitment; reported repayments require verification; financial mutations are transactional and idempotent.</w:t>
      </w:r>
    </w:p>
    <w:p>
      <w:pPr>
        <w:pStyle w:val="Heading1"/>
      </w:pPr>
      <w:r>
        <w:t>2. Authentication</w:t>
      </w:r>
    </w:p>
    <w:p>
      <w:r>
        <w:t>POST /auth/otp/request; POST /auth/otp/verify; POST /auth/refresh; POST /auth/logout; GET /me; PATCH /me; POST /me/deactivate. One Fides account is shared by mobile and web.</w:t>
      </w:r>
    </w:p>
    <w:p>
      <w:pPr>
        <w:pStyle w:val="Heading1"/>
      </w:pPr>
      <w:r>
        <w:t>3. Connections</w:t>
      </w:r>
    </w:p>
    <w:p>
      <w:r>
        <w:t>POST /connections; GET /connections; GET /connections/{id}; POST /connections/{id}/accept; POST /connections/{id}/reject; POST /connections/{id}/block; DELETE /connections/{id}. Removing a connection never deletes financial history.</w:t>
      </w:r>
    </w:p>
    <w:p>
      <w:pPr>
        <w:pStyle w:val="Heading1"/>
      </w:pPr>
      <w:r>
        <w:t>4. Commitments</w:t>
      </w:r>
    </w:p>
    <w:p>
      <w:r>
        <w:t>POST /commitments; GET /commitments; GET /commitments/{id}; POST /commitments/{id}/confirm; POST /commitments/{id}/reject; POST /commitments/{id}/activate; POST /commitments/{id}/cancel; GET /commitments/{id}/terms; GET /commitments/{id}/installments; GET /commitments/{id}/ledger.</w:t>
      </w:r>
    </w:p>
    <w:p>
      <w:pPr>
        <w:pStyle w:val="Heading1"/>
      </w:pPr>
      <w:r>
        <w:t>5. Repayments &amp; Verification</w:t>
      </w:r>
    </w:p>
    <w:p>
      <w:r>
        <w:t>POST /commitments/{id}/repayments creates PENDING_VERIFICATION. GET /commitments/{id}/repayments; GET /repayments/{id}; POST /repayments/{id}/verify; POST /repayments/{id}/dispute; GET /repayments/{id}/verification-history. No automatic allocation across commitments.</w:t>
      </w:r>
    </w:p>
    <w:p>
      <w:pPr>
        <w:pStyle w:val="Heading1"/>
      </w:pPr>
      <w:r>
        <w:t>6. Extensions</w:t>
      </w:r>
    </w:p>
    <w:p>
      <w:r>
        <w:t>POST /commitments/{id}/extension-requests; GET /commitments/{id}/extension-requests; POST /extension-requests/{id}/accept; POST /extension-requests/{id}/reject. Accepted changes create a new terms version; history is preserved.</w:t>
      </w:r>
    </w:p>
    <w:p>
      <w:pPr>
        <w:pStyle w:val="Heading1"/>
      </w:pPr>
      <w:r>
        <w:t>7. Summary</w:t>
      </w:r>
    </w:p>
    <w:p>
      <w:r>
        <w:t>GET /summary; GET /summary/borrowed; GET /summary/lent; GET /summary/upcoming; GET /summary/overdue. These are derived views, never authoritative financial state.</w:t>
      </w:r>
    </w:p>
    <w:p>
      <w:pPr>
        <w:pStyle w:val="Heading1"/>
      </w:pPr>
      <w:r>
        <w:t>8. Notifications</w:t>
      </w:r>
    </w:p>
    <w:p>
      <w:r>
        <w:t>GET /notifications; POST /notifications/{id}/read; GET/POST /notification-preferences. Delivery does not determine financial state.</w:t>
      </w:r>
    </w:p>
    <w:p>
      <w:pPr>
        <w:pStyle w:val="Heading1"/>
      </w:pPr>
      <w:r>
        <w:t>9. Authorization</w:t>
      </w:r>
    </w:p>
    <w:p>
      <w:r>
        <w:t>Participants may access permitted connection/commitment/repayment data. Unrelated users receive no access. Authorization is enforced server-side on every request; connection membership alone does not grant unrelated financial history.</w:t>
      </w:r>
    </w:p>
    <w:p>
      <w:pPr>
        <w:pStyle w:val="Heading1"/>
      </w:pPr>
      <w:r>
        <w:t>10. Errors</w:t>
      </w:r>
    </w:p>
    <w:p>
      <w:r>
        <w:t>Use stable JSON error codes. 400 malformed, 401 unauthenticated, 403 unauthorized, 404 unavailable, 409 conflict/state/idempotency, 422 semantic validation, 429 rate limit, 500 safe generic error. Never expose stack traces or secrets.</w:t>
      </w:r>
    </w:p>
    <w:p>
      <w:pPr>
        <w:pStyle w:val="Heading1"/>
      </w:pPr>
      <w:r>
        <w:t>11. Idempotency &amp; Concurrency</w:t>
      </w:r>
    </w:p>
    <w:p>
      <w:r>
        <w:t>Financial mutations require Idempotency-Key. Same key + same request returns original result; same key + different request is rejected. Verification and repayment writes lock the commitment before checking eligible outstanding. State transitions are validated inside transactions. Ledger event + state mutation + audit event commit atomically.</w:t>
      </w:r>
    </w:p>
    <w:p>
      <w:pPr>
        <w:pStyle w:val="Heading1"/>
      </w:pPr>
      <w:r>
        <w:t>12. State Machines</w:t>
      </w:r>
    </w:p>
    <w:p>
      <w:r>
        <w:t>Commitment: DRAFT → PENDING_CONFIRMATION → CONFIRMED → ACTIVE → PARTIALLY_REPAID → FULLY_REPAID → CLOSED, with exceptional states where allowed. Repayment: PENDING_VERIFICATION → VERIFIED or DISPUTED. Invalid transitions are rejected.</w:t>
      </w:r>
    </w:p>
    <w:p>
      <w:pPr>
        <w:pStyle w:val="Heading1"/>
      </w:pPr>
      <w:r>
        <w:t>13. Security</w:t>
      </w:r>
    </w:p>
    <w:p>
      <w:r>
        <w:t>HTTPS, rate-limited OTP, server-side authorization, short-lived sessions, no client database access, no client-authoritative balances/status/verification, sensitive data minimized in logs.</w:t>
      </w:r>
    </w:p>
    <w:p>
      <w:pPr>
        <w:pStyle w:val="Heading1"/>
      </w:pPr>
      <w:r>
        <w:t>14. Future Compatibility</w:t>
      </w:r>
    </w:p>
    <w:p>
      <w:r>
        <w:t>Funding Requests can become a parent/container producing multiple underlying commitments. Trust profiles/graph derive from verified behaviour. AI remains read-only for authoritative financial state. Payment integrations add provider transaction records without changing commitment semantics.</w:t>
      </w:r>
    </w:p>
    <w:p>
      <w:pPr>
        <w:pStyle w:val="Heading1"/>
      </w:pPr>
      <w:r>
        <w:t>15. Definition of Done</w:t>
      </w:r>
    </w:p>
    <w:p>
      <w:r>
        <w:t>OpenAPI schemas reviewed; mobile and web use the same contract; mutation/idempotency tests; authorization tests; lifecycle tests; repayment verification tests; concurrency/no-overpayment tests; contract tests; safe logging.</w:t>
      </w:r>
    </w:p>
    <w:p>
      <w:pPr>
        <w:pStyle w:val="Heading1"/>
      </w:pPr>
      <w:r>
        <w:t>Document authority</w:t>
      </w:r>
    </w:p>
    <w:p>
      <w:r>
        <w:t>Master Product Spec defines product semantics; Tech Spec defines platform architecture; Database Spec defines persistence; this document defines the API boundary. Conflicts must be explicitly resolved, never silently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