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pBdr>
          <w:bottom w:val="single" w:color="3D8EF8" w:sz="24" w:space="6"/>
        </w:pBd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0F1117"/>
          <w:sz w:val="72"/>
          <w:szCs w:val="72"/>
        </w:rPr>
        <w:t xml:space="preserve">VEHICLE SALES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 w:val="false"/>
          <w:bCs w:val="false"/>
          <w:color w:val="3D8EF8"/>
          <w:sz w:val="40"/>
          <w:szCs w:val="40"/>
        </w:rPr>
        <w:t xml:space="preserve">DATA ANALYSIS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D8EF8" w:sz="4"/>
              <w:left w:val="single" w:color="3D8EF8" w:sz="4"/>
              <w:bottom w:val="single" w:color="3D8EF8" w:sz="4"/>
              <w:right w:val="single" w:color="3D8EF8" w:sz="4"/>
            </w:tcBorders>
            <w:shd w:fill="3D8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Python EDA</w:t>
            </w:r>
          </w:p>
        </w:tc>
        <w:tc>
          <w:tcPr>
            <w:tcW w:type="dxa" w:w="312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DAX Measures</w:t>
            </w:r>
          </w:p>
        </w:tc>
        <w:tc>
          <w:tcPr>
            <w:tcW w:type="dxa" w:w="312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Power BI Dashboard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Dataset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Kaggle — Vehicle Sales Data (syedanwarafridi)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Records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558,837 raw → 534,177 cleaned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Sale Period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Late 2014 – 2015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Tools Used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Python (pandas, seaborn, scipy) · Power BI · DAX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Coverage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38 US states &amp; Canadian provinces · 40+ makes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F1117"/>
          <w:sz w:val="36"/>
          <w:szCs w:val="36"/>
        </w:rPr>
        <w:t xml:space="preserve">1. Executive Summary</w:t>
      </w:r>
    </w:p>
    <w:p>
      <w:pPr>
        <w:pBdr>
          <w:bottom w:val="single" w:color="3D8EF8" w:sz="6" w:space="1"/>
        </w:pBdr>
        <w:spacing w:after="80" w:before="80"/>
      </w:pP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This report documents a complete end-to-end data analysis project covering a real-world vehicle auction dataset sourced from Kaggle. The project demonstrates the full analyst workflow: raw data ingestion, Python-based cleaning and exploratory data analysis (EDA), DAX measure development, and interactive Power BI dashboard delivery across three report pages.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F1117"/>
          <w:sz w:val="24"/>
          <w:szCs w:val="24"/>
        </w:rPr>
        <w:t xml:space="preserve">Five Key Findings</w:t>
      </w:r>
    </w:p>
    <w:tbl>
      <w:tblPr>
        <w:tblW w:type="dxa" w:w="9360"/>
        <w:tblBorders>
          <w:top w:val="single" w:color="E2E8F0" w:sz="2"/>
          <w:left w:val="none" w:color="FFFFFF" w:sz="0"/>
          <w:bottom w:val="single" w:color="E2E8F0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D8EF8"/>
                <w:sz w:val="20"/>
                <w:szCs w:val="20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MMR is a near-perfect price proxy (r = 0.978, r² = 0.956) — explaining 95.6% of selling price variance, confirming it as the dominant market benchmark.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The 50,000-mile depreciation cliff — prices drop only 9.5% in the 0–50K mile range, then collapse 31.4% at the 50K threshold. Total erosion from low to high mileage reaches 86.4%.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53.3% of vehicles sold above MMR (+$948 avg premium), while 46.7% sold below (-$1,140 avg discount) — a 20% asymmetry where losses outweigh gains.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Florida leads total revenue ($1.02B) through volume alone. Pennsylvania and Tennessee are the only states ranking top 4 in both revenue and avg selling price simultaneously.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Ford dominates the top 10 models with 4 entries (48,319 units), yet all 10 best-selling models sell below MMR — confirming high auction volume creates buyer pricing leverage.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F1117"/>
          <w:sz w:val="36"/>
          <w:szCs w:val="36"/>
        </w:rPr>
        <w:t xml:space="preserve">2. Dataset Overview &amp; Data Cleaning</w:t>
      </w:r>
    </w:p>
    <w:p>
      <w:pPr>
        <w:pBdr>
          <w:bottom w:val="single" w:color="3D8EF8" w:sz="6" w:space="1"/>
        </w:pBdr>
        <w:spacing w:after="80" w:before="80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2.1 Raw Dataset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dataset contains 558,837 vehicle auction records with 16 columns spanning vehicle attributes, transaction data, and geographic information.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4700"/>
        <w:gridCol w:w="2260"/>
      </w:tblGrid>
      <w:tr>
        <w:trPr>
          <w:tblHeader/>
        </w:trPr>
        <w:tc>
          <w:tcPr>
            <w:tcW w:type="dxa" w:w="14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0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6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Nulls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year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4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Vehicle model year</w:t>
            </w:r>
          </w:p>
        </w:tc>
        <w:tc>
          <w:tcPr>
            <w:tcW w:type="dxa" w:w="2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make / model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4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Manufacturer and model name</w:t>
            </w:r>
          </w:p>
        </w:tc>
        <w:tc>
          <w:tcPr>
            <w:tcW w:type="dxa" w:w="2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10,167 / 10,265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trim / body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4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Trim level and body type</w:t>
            </w:r>
          </w:p>
        </w:tc>
        <w:tc>
          <w:tcPr>
            <w:tcW w:type="dxa" w:w="2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10,501 / 12,988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transmission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4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Auto or manual</w:t>
            </w:r>
          </w:p>
        </w:tc>
        <w:tc>
          <w:tcPr>
            <w:tcW w:type="dxa" w:w="2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64,272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vin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4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Unique vehicle identifier</w:t>
            </w:r>
          </w:p>
        </w:tc>
        <w:tc>
          <w:tcPr>
            <w:tcW w:type="dxa" w:w="2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state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4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US state / Canadian province (2-letter code)</w:t>
            </w:r>
          </w:p>
        </w:tc>
        <w:tc>
          <w:tcPr>
            <w:tcW w:type="dxa" w:w="2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condition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Float</w:t>
            </w:r>
          </w:p>
        </w:tc>
        <w:tc>
          <w:tcPr>
            <w:tcW w:type="dxa" w:w="4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Numeric condition score (1–49 scale)</w:t>
            </w:r>
          </w:p>
        </w:tc>
        <w:tc>
          <w:tcPr>
            <w:tcW w:type="dxa" w:w="2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11,506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odometer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Float</w:t>
            </w:r>
          </w:p>
        </w:tc>
        <w:tc>
          <w:tcPr>
            <w:tcW w:type="dxa" w:w="4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Miles driven at time of sale</w:t>
            </w:r>
          </w:p>
        </w:tc>
        <w:tc>
          <w:tcPr>
            <w:tcW w:type="dxa" w:w="2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83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color / interior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4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Exterior and interior colour</w:t>
            </w:r>
          </w:p>
        </w:tc>
        <w:tc>
          <w:tcPr>
            <w:tcW w:type="dxa" w:w="2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727 each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seller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4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Auction seller / dealer name</w:t>
            </w:r>
          </w:p>
        </w:tc>
        <w:tc>
          <w:tcPr>
            <w:tcW w:type="dxa" w:w="2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mmr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Float</w:t>
            </w:r>
          </w:p>
        </w:tc>
        <w:tc>
          <w:tcPr>
            <w:tcW w:type="dxa" w:w="4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Manheim Market Report benchmark price ($)</w:t>
            </w:r>
          </w:p>
        </w:tc>
        <w:tc>
          <w:tcPr>
            <w:tcW w:type="dxa" w:w="2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sellingprice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Float</w:t>
            </w:r>
          </w:p>
        </w:tc>
        <w:tc>
          <w:tcPr>
            <w:tcW w:type="dxa" w:w="4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Actual auction hammer price ($)</w:t>
            </w:r>
          </w:p>
        </w:tc>
        <w:tc>
          <w:tcPr>
            <w:tcW w:type="dxa" w:w="2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saledate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4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Full datetime of sale (UTC format)</w:t>
            </w:r>
          </w:p>
        </w:tc>
        <w:tc>
          <w:tcPr>
            <w:tcW w:type="dxa" w:w="2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12</w:t>
            </w:r>
          </w:p>
        </w:tc>
      </w:tr>
    </w:tbl>
    <w:p>
      <w:pPr>
        <w:spacing w:after="0" w:before="160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2.2 Cleaning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0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Nulls</w:t>
            </w:r>
          </w:p>
        </w:tc>
        <w:tc>
          <w:tcPr>
            <w:tcW w:type="dxa" w:w="18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transmission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64,272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Fill "Unknown"</w:t>
            </w:r>
          </w:p>
        </w:tc>
        <w:tc>
          <w:tcPr>
            <w:tcW w:type="dxa" w:w="4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Too many to drop (37% of data)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body / make / model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10K–13K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Fill "Unknown"</w:t>
            </w:r>
          </w:p>
        </w:tc>
        <w:tc>
          <w:tcPr>
            <w:tcW w:type="dxa" w:w="4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Rows contain valid price/state data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condition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11,506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Fill median</w:t>
            </w:r>
          </w:p>
        </w:tc>
        <w:tc>
          <w:tcPr>
            <w:tcW w:type="dxa" w:w="4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Numeric — median is outlier-resistant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odometer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83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Fill median by make</w:t>
            </w:r>
          </w:p>
        </w:tc>
        <w:tc>
          <w:tcPr>
            <w:tcW w:type="dxa" w:w="4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Grouped median more realistic than global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sellingprice / mmr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12 / 14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Drop rows</w:t>
            </w:r>
          </w:p>
        </w:tc>
        <w:tc>
          <w:tcPr>
            <w:tcW w:type="dxa" w:w="4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Primary metric — cannot impute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saledate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Drop rows</w:t>
            </w:r>
          </w:p>
        </w:tc>
        <w:tc>
          <w:tcPr>
            <w:tcW w:type="dxa" w:w="4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 date = cannot place in time series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vin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Drop row</w:t>
            </w:r>
          </w:p>
        </w:tc>
        <w:tc>
          <w:tcPr>
            <w:tcW w:type="dxa" w:w="4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Row identifier — 1 record only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color / interior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727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Fill "Unknown"</w:t>
            </w:r>
          </w:p>
        </w:tc>
        <w:tc>
          <w:tcPr>
            <w:tcW w:type="dxa" w:w="4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Categorical — small proportion</w:t>
            </w:r>
          </w:p>
        </w:tc>
      </w:tr>
    </w:tbl>
    <w:p>
      <w:pPr>
        <w:spacing w:after="0" w:before="160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2.3 Outlier Detection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Both IQR and Z-score methods were applied. IQR was used as the primary method due to the confirmed right-skewed distributions across all numeric columns.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IQR Lower</w:t>
            </w:r>
          </w:p>
        </w:tc>
        <w:tc>
          <w:tcPr>
            <w:tcW w:type="dxa" w:w="15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IQR Upper</w:t>
            </w:r>
          </w:p>
        </w:tc>
        <w:tc>
          <w:tcPr>
            <w:tcW w:type="dxa" w:w="156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Outliers</w:t>
            </w:r>
          </w:p>
        </w:tc>
        <w:tc>
          <w:tcPr>
            <w:tcW w:type="dxa" w:w="28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 Removed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sellingprice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-$9,750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$33,850</w:t>
            </w:r>
          </w:p>
        </w:tc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2,747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0.5%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mmr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-$9,138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$33,562</w:t>
            </w:r>
          </w:p>
        </w:tc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3,878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0.7%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odometer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-77,939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208,069</w:t>
            </w:r>
          </w:p>
        </w:tc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9,502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1.8%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condition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-2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66</w:t>
            </w:r>
          </w:p>
        </w:tc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0.0%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Final cleaned dataset: 534,177 records (95.6% retention rate)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F1117"/>
          <w:sz w:val="36"/>
          <w:szCs w:val="36"/>
        </w:rPr>
        <w:t xml:space="preserve">3. Feature Engineering</w:t>
      </w:r>
    </w:p>
    <w:p>
      <w:pPr>
        <w:pBdr>
          <w:bottom w:val="single" w:color="3D8EF8" w:sz="6" w:space="1"/>
        </w:pBdr>
        <w:spacing w:after="80" w:before="80"/>
      </w:pP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Six new columns were derived from existing data to unlock richer analytical dimensions: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800"/>
        <w:gridCol w:w="3160"/>
      </w:tblGrid>
      <w:tr>
        <w:trPr>
          <w:tblHeader/>
        </w:trPr>
        <w:tc>
          <w:tcPr>
            <w:tcW w:type="dxa" w:w="17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New Column</w:t>
            </w:r>
          </w:p>
        </w:tc>
        <w:tc>
          <w:tcPr>
            <w:tcW w:type="dxa" w:w="17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Derived From</w:t>
            </w:r>
          </w:p>
        </w:tc>
        <w:tc>
          <w:tcPr>
            <w:tcW w:type="dxa" w:w="28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Formula / Logic</w:t>
            </w:r>
          </w:p>
        </w:tc>
        <w:tc>
          <w:tcPr>
            <w:tcW w:type="dxa" w:w="316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vehicle_age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sale_year, year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sale_year − model year</w:t>
            </w:r>
          </w:p>
        </w:tc>
        <w:tc>
          <w:tcPr>
            <w:tcW w:type="dxa" w:w="3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Age at time of sale for depreciation analysis</w:t>
            </w:r>
          </w:p>
        </w:tc>
      </w:tr>
      <w:tr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sale_month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saledate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datetime.dt.month</w:t>
            </w:r>
          </w:p>
        </w:tc>
        <w:tc>
          <w:tcPr>
            <w:tcW w:type="dxa" w:w="3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Monthly and seasonal trend analysis</w:t>
            </w:r>
          </w:p>
        </w:tc>
      </w:tr>
      <w:tr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quarter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saledate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Q1/Q2/Q3/Q4 from month number</w:t>
            </w:r>
          </w:p>
        </w:tc>
        <w:tc>
          <w:tcPr>
            <w:tcW w:type="dxa" w:w="3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Quarterly revenue and volume comparison</w:t>
            </w:r>
          </w:p>
        </w:tc>
      </w:tr>
      <w:tr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day_of_week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saledate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datetime.dt.day_name()</w:t>
            </w:r>
          </w:p>
        </w:tc>
        <w:tc>
          <w:tcPr>
            <w:tcW w:type="dxa" w:w="3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Auction activity by weekday pattern</w:t>
            </w:r>
          </w:p>
        </w:tc>
      </w:tr>
      <w:tr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price_vs_market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sellingprice, mmr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sellingprice − mmr</w:t>
            </w:r>
          </w:p>
        </w:tc>
        <w:tc>
          <w:tcPr>
            <w:tcW w:type="dxa" w:w="3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Core KPI: actual vs benchmark deviation</w:t>
            </w:r>
          </w:p>
        </w:tc>
      </w:tr>
      <w:tr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mileage_bucket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odometer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pd.cut into 6 bands</w:t>
            </w:r>
          </w:p>
        </w:tc>
        <w:tc>
          <w:tcPr>
            <w:tcW w:type="dxa" w:w="3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Depreciation curve segmentation (0–20K to 200K+)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F1117"/>
          <w:sz w:val="36"/>
          <w:szCs w:val="36"/>
        </w:rPr>
        <w:t xml:space="preserve">4. Exploratory Data Analysis — Key Findings</w:t>
      </w:r>
    </w:p>
    <w:p>
      <w:pPr>
        <w:pBdr>
          <w:bottom w:val="single" w:color="3D8EF8" w:sz="6" w:space="1"/>
        </w:pBdr>
        <w:spacing w:after="80" w:before="80"/>
      </w:pPr>
    </w:p>
    <w:p>
      <w:pPr>
        <w:pBdr>
          <w:left w:val="single" w:color="3D8EF8" w:sz="24" w:space="8"/>
        </w:pBdr>
        <w:spacing w:after="80" w:before="240"/>
      </w:pPr>
      <w:r>
        <w:rPr>
          <w:rFonts w:ascii="Calibri" w:cs="Calibri" w:eastAsia="Calibri" w:hAnsi="Calibri"/>
          <w:b/>
          <w:bCs/>
          <w:color w:val="0F1117"/>
          <w:sz w:val="28"/>
          <w:szCs w:val="28"/>
        </w:rPr>
        <w:t xml:space="preserve">Q01 — Selling Price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Statistic</w:t>
            </w:r>
          </w:p>
        </w:tc>
        <w:tc>
          <w:tcPr>
            <w:tcW w:type="dxa" w:w="468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Count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534,177 records</w:t>
            </w:r>
          </w:p>
        </w:tc>
      </w:tr>
      <w:tr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Mean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$12,643</w:t>
            </w:r>
          </w:p>
        </w:tc>
      </w:tr>
      <w:tr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Median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$11,900</w:t>
            </w:r>
          </w:p>
        </w:tc>
      </w:tr>
      <w:tr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Std Deviation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$7,773</w:t>
            </w:r>
          </w:p>
        </w:tc>
      </w:tr>
      <w:tr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Min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 (data error — filter out)</w:t>
            </w:r>
          </w:p>
        </w:tc>
      </w:tr>
      <w:tr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Max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$35,100</w:t>
            </w:r>
          </w:p>
        </w:tc>
      </w:tr>
      <w:tr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Skewness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0.526 (right-skewed)</w:t>
            </w:r>
          </w:p>
        </w:tc>
      </w:tr>
      <w:tr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Kurtosis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-0.263 (platykurtic — flat distribution)</w:t>
            </w:r>
          </w:p>
        </w:tc>
      </w:tr>
      <w:tr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% under $20K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82.0%</w:t>
            </w:r>
          </w:p>
        </w:tc>
      </w:tr>
      <w:tr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% $20K–$50K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18.0%</w:t>
            </w:r>
          </w:p>
        </w:tc>
      </w:tr>
    </w:tbl>
    <w:p>
      <w:pPr>
        <w:spacing w:after="60" w:before="100"/>
      </w:pP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Finding: The distribution is moderately right-skewed (skewness = 0.526) with a median of $11,900. The KDE curve reveals a bimodal pattern suggesting two distinct buyer segments — economy used vehicles (~$9,000–$10,000 peak) and certified pre-owned near-new vehicles (~$16,000–$18,000 peak). The mean exceeds the median by $743 due to luxury vehicle outliers. The median is the more representative central measure for reporting purposes.</w:t>
      </w:r>
    </w:p>
    <w:p>
      <w:pPr>
        <w:pBdr>
          <w:left w:val="single" w:color="DC2626" w:sz="24" w:space="8"/>
        </w:pBdr>
        <w:spacing w:after="80" w:before="240"/>
      </w:pPr>
      <w:r>
        <w:rPr>
          <w:rFonts w:ascii="Calibri" w:cs="Calibri" w:eastAsia="Calibri" w:hAnsi="Calibri"/>
          <w:b/>
          <w:bCs/>
          <w:color w:val="0F1117"/>
          <w:sz w:val="28"/>
          <w:szCs w:val="28"/>
        </w:rPr>
        <w:t xml:space="preserve">Q02 — Price vs MMR by Make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Finding: The majority of makes sell below their MMR benchmark. Luxury brands show the largest deficits — Bentley (-$12,900), Plymouth (-$1,578), Porsche (-$1,175), BMW (-$519), and Mercedes-Benz (-$456). In contrast, trucks and mainstream brands consistently beat market value: Mazda tk (+$1,126), GMC truck (+$433), Buick (+$323), and Nissan (+$272). High auction volume creates buyer pricing leverage that depresses prices below MMR for mass-market models.</w:t>
      </w:r>
    </w:p>
    <w:p>
      <w:pPr>
        <w:pBdr>
          <w:left w:val="single" w:color="D97706" w:sz="24" w:space="8"/>
        </w:pBdr>
        <w:spacing w:after="80" w:before="240"/>
      </w:pPr>
      <w:r>
        <w:rPr>
          <w:rFonts w:ascii="Calibri" w:cs="Calibri" w:eastAsia="Calibri" w:hAnsi="Calibri"/>
          <w:b/>
          <w:bCs/>
          <w:color w:val="0F1117"/>
          <w:sz w:val="28"/>
          <w:szCs w:val="28"/>
        </w:rPr>
        <w:t xml:space="preserve">Q03 — Above vs Below MMR Overall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53.3%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br/>
              <w:t xml:space="preserve">
Above MMR</w:t>
            </w:r>
          </w:p>
        </w:tc>
        <w:tc>
          <w:tcPr>
            <w:tcW w:type="dxa" w:w="234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+$948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br/>
              <w:t xml:space="preserve">
Avg premium</w:t>
            </w:r>
          </w:p>
        </w:tc>
        <w:tc>
          <w:tcPr>
            <w:tcW w:type="dxa" w:w="234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46.7%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br/>
              <w:t xml:space="preserve">
Below MMR</w:t>
            </w:r>
          </w:p>
        </w:tc>
        <w:tc>
          <w:tcPr>
            <w:tcW w:type="dxa" w:w="2340"/>
            <w:tcBorders>
              <w:top w:val="single" w:color="9A3412" w:sz="4"/>
              <w:left w:val="single" w:color="9A3412" w:sz="4"/>
              <w:bottom w:val="single" w:color="9A3412" w:sz="4"/>
              <w:right w:val="single" w:color="9A3412" w:sz="4"/>
            </w:tcBorders>
            <w:shd w:fill="9A34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-$1,140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br/>
              <w:t xml:space="preserve">
Avg discount</w:t>
            </w:r>
          </w:p>
        </w:tc>
      </w:tr>
    </w:tbl>
    <w:p>
      <w:pPr>
        <w:spacing w:after="60" w:before="100"/>
      </w:pP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Finding: The 53/47 split appears balanced but the magnitude histogram reveals an asymmetric market — losses (-$1,140) outweigh gains (+$948) by 20%. A long left tail stretches to -$80,000, driven by luxury makes like Bentley and Maserati. The net fleet-wide impact is approximately -$27 per vehicle. MMR is a reliable benchmark for mainstream makes but unreliable for luxury brands.</w:t>
      </w:r>
    </w:p>
    <w:p>
      <w:pPr>
        <w:pBdr>
          <w:left w:val="single" w:color="DC2626" w:sz="24" w:space="8"/>
        </w:pBdr>
        <w:spacing w:after="80" w:before="240"/>
      </w:pPr>
      <w:r>
        <w:rPr>
          <w:rFonts w:ascii="Calibri" w:cs="Calibri" w:eastAsia="Calibri" w:hAnsi="Calibri"/>
          <w:b/>
          <w:bCs/>
          <w:color w:val="0F1117"/>
          <w:sz w:val="28"/>
          <w:szCs w:val="28"/>
        </w:rPr>
        <w:t xml:space="preserve">Q05 — Mileage vs Price (Depreciation Curve)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260"/>
        <w:gridCol w:w="3300"/>
      </w:tblGrid>
      <w:tr>
        <w:trPr>
          <w:tblHeader/>
        </w:trPr>
        <w:tc>
          <w:tcPr>
            <w:tcW w:type="dxa" w:w="20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Mileage Bucket</w:t>
            </w:r>
          </w:p>
        </w:tc>
        <w:tc>
          <w:tcPr>
            <w:tcW w:type="dxa" w:w="14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Avg Price</w:t>
            </w:r>
          </w:p>
        </w:tc>
        <w:tc>
          <w:tcPr>
            <w:tcW w:type="dxa" w:w="14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Median Price</w:t>
            </w:r>
          </w:p>
        </w:tc>
        <w:tc>
          <w:tcPr>
            <w:tcW w:type="dxa" w:w="126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Units</w:t>
            </w:r>
          </w:p>
        </w:tc>
        <w:tc>
          <w:tcPr>
            <w:tcW w:type="dxa" w:w="33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Drop from Previous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0 – 20K miles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$18,607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$17,750</w:t>
            </w:r>
          </w:p>
        </w:tc>
        <w:tc>
          <w:tcPr>
            <w:tcW w:type="dxa" w:w="1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75,394</w:t>
            </w:r>
          </w:p>
        </w:tc>
        <w:tc>
          <w:tcPr>
            <w:tcW w:type="dxa" w:w="3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Baseline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20 – 50K miles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$16,844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$15,500</w:t>
            </w:r>
          </w:p>
        </w:tc>
        <w:tc>
          <w:tcPr>
            <w:tcW w:type="dxa" w:w="1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176,347</w:t>
            </w:r>
          </w:p>
        </w:tc>
        <w:tc>
          <w:tcPr>
            <w:tcW w:type="dxa" w:w="3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-9.5%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50 – 100K miles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$11,561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$10,400</w:t>
            </w:r>
          </w:p>
        </w:tc>
        <w:tc>
          <w:tcPr>
            <w:tcW w:type="dxa" w:w="1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146,962</w:t>
            </w:r>
          </w:p>
        </w:tc>
        <w:tc>
          <w:tcPr>
            <w:tcW w:type="dxa" w:w="3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-31.4% (cliff)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100 – 150K miles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$5,960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$4,900</w:t>
            </w:r>
          </w:p>
        </w:tc>
        <w:tc>
          <w:tcPr>
            <w:tcW w:type="dxa" w:w="1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88,984</w:t>
            </w:r>
          </w:p>
        </w:tc>
        <w:tc>
          <w:tcPr>
            <w:tcW w:type="dxa" w:w="3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-48.5%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150 – 200K miles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$3,494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$2,600</w:t>
            </w:r>
          </w:p>
        </w:tc>
        <w:tc>
          <w:tcPr>
            <w:tcW w:type="dxa" w:w="1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34,447</w:t>
            </w:r>
          </w:p>
        </w:tc>
        <w:tc>
          <w:tcPr>
            <w:tcW w:type="dxa" w:w="3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-41.4%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200K+ miles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$2,529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$1,700</w:t>
            </w:r>
          </w:p>
        </w:tc>
        <w:tc>
          <w:tcPr>
            <w:tcW w:type="dxa" w:w="1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12,043</w:t>
            </w:r>
          </w:p>
        </w:tc>
        <w:tc>
          <w:tcPr>
            <w:tcW w:type="dxa" w:w="3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-27.6%</w:t>
            </w:r>
          </w:p>
        </w:tc>
      </w:tr>
    </w:tbl>
    <w:p>
      <w:pPr>
        <w:spacing w:after="60" w:before="100"/>
      </w:pP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Finding: Correlation r = -0.649 (strong negative). Every 10,000 additional miles reduces value by ~$933. The 50K-mile threshold is the critical inflection point — prices fall 31.4% here vs only 9.5% in the prior bracket. Total depreciation from 0–20K to 200K+ miles reaches 86.4%. The Spearman correlation (-0.701) exceeds Pearson (-0.642), confirming the depreciation curve is non-linear.</w:t>
      </w:r>
    </w:p>
    <w:p>
      <w:pPr>
        <w:pBdr>
          <w:left w:val="single" w:color="7C3AED" w:sz="24" w:space="8"/>
        </w:pBdr>
        <w:spacing w:after="80" w:before="240"/>
      </w:pPr>
      <w:r>
        <w:rPr>
          <w:rFonts w:ascii="Calibri" w:cs="Calibri" w:eastAsia="Calibri" w:hAnsi="Calibri"/>
          <w:b/>
          <w:bCs/>
          <w:color w:val="0F1117"/>
          <w:sz w:val="28"/>
          <w:szCs w:val="28"/>
        </w:rPr>
        <w:t xml:space="preserve">Q08 — Model Year vs Resale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Model Year</w:t>
            </w:r>
          </w:p>
        </w:tc>
        <w:tc>
          <w:tcPr>
            <w:tcW w:type="dxa" w:w="15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Avg Price</w:t>
            </w:r>
          </w:p>
        </w:tc>
        <w:tc>
          <w:tcPr>
            <w:tcW w:type="dxa" w:w="15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Units Sold</w:t>
            </w:r>
          </w:p>
        </w:tc>
        <w:tc>
          <w:tcPr>
            <w:tcW w:type="dxa" w:w="486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2015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$20,290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7,397</w:t>
            </w:r>
          </w:p>
        </w:tc>
        <w:tc>
          <w:tcPr>
            <w:tcW w:type="dxa" w:w="4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Highest avg price — limited supply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2014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$18,127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74,778</w:t>
            </w:r>
          </w:p>
        </w:tc>
        <w:tc>
          <w:tcPr>
            <w:tcW w:type="dxa" w:w="4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Strong price + high volume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2013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$16,380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93,501</w:t>
            </w:r>
          </w:p>
        </w:tc>
        <w:tc>
          <w:tcPr>
            <w:tcW w:type="dxa" w:w="4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Sweet spot: volume &amp; value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2012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$15,709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97,375</w:t>
            </w:r>
          </w:p>
        </w:tc>
        <w:tc>
          <w:tcPr>
            <w:tcW w:type="dxa" w:w="4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Peak volume year — market anchor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2011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$15,247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46,606</w:t>
            </w:r>
          </w:p>
        </w:tc>
        <w:tc>
          <w:tcPr>
            <w:tcW w:type="dxa" w:w="4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Declining but still premium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1993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$834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205</w:t>
            </w:r>
          </w:p>
        </w:tc>
        <w:tc>
          <w:tcPr>
            <w:tcW w:type="dxa" w:w="4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Lowest resale — collector/salvage only</w:t>
            </w:r>
          </w:p>
        </w:tc>
      </w:tr>
    </w:tbl>
    <w:p>
      <w:pPr>
        <w:spacing w:after="60" w:before="100"/>
      </w:pP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Finding: Resale value grows exponentially with model year recency — from $834 (1993) to $20,290 (2015), a 2,333% increase. The 2012 model year is the market sweet spot (highest volume at 97,375 units with strong $15,709 avg price). Toyota and Honda sustain value better than domestic brands across all cohorts. The heatmap confirms brand reputation directly translates to sustained resale value.</w:t>
      </w:r>
    </w:p>
    <w:p>
      <w:pPr>
        <w:pBdr>
          <w:left w:val="single" w:color="0D9488" w:sz="24" w:space="8"/>
        </w:pBdr>
        <w:spacing w:after="80" w:before="240"/>
      </w:pPr>
      <w:r>
        <w:rPr>
          <w:rFonts w:ascii="Calibri" w:cs="Calibri" w:eastAsia="Calibri" w:hAnsi="Calibri"/>
          <w:b/>
          <w:bCs/>
          <w:color w:val="0F1117"/>
          <w:sz w:val="28"/>
          <w:szCs w:val="28"/>
        </w:rPr>
        <w:t xml:space="preserve">Q09 — Monthly &amp; Quarterly Sales Trends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Finding: Q1 generated the highest quarterly revenue ($4.23B) with February peaking at $1.98B and 156,167 units. This partly reflects the partial 2014 coverage in the dataset, but Q1 seasonal strength aligns with known automotive auction patterns where fleet turnovers occur at year-start.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Important caveat: The dataset covers only partial 2014 (Oct–Dec) and full 2015, making year-over-year volume comparison unreliable. The only credible YoY metric is average price growth of +20.4% ($10,500 → $12,869).</w:t>
      </w:r>
    </w:p>
    <w:p>
      <w:pPr>
        <w:pBdr>
          <w:left w:val="single" w:color="16A34A" w:sz="24" w:space="8"/>
        </w:pBdr>
        <w:spacing w:after="80" w:before="240"/>
      </w:pPr>
      <w:r>
        <w:rPr>
          <w:rFonts w:ascii="Calibri" w:cs="Calibri" w:eastAsia="Calibri" w:hAnsi="Calibri"/>
          <w:b/>
          <w:bCs/>
          <w:color w:val="0F1117"/>
          <w:sz w:val="28"/>
          <w:szCs w:val="28"/>
        </w:rPr>
        <w:t xml:space="preserve">Q13 — Regional Revenue &amp; Avg Price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400"/>
        <w:gridCol w:w="1200"/>
        <w:gridCol w:w="1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6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12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Units</w:t>
            </w:r>
          </w:p>
        </w:tc>
        <w:tc>
          <w:tcPr>
            <w:tcW w:type="dxa" w:w="14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Avg Price</w:t>
            </w:r>
          </w:p>
        </w:tc>
        <w:tc>
          <w:tcPr>
            <w:tcW w:type="dxa" w:w="176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Revenue Share</w:t>
            </w:r>
          </w:p>
        </w:tc>
      </w:tr>
      <w:tr>
        <w:tc>
          <w:tcPr>
            <w:tcW w:type="dxa" w:w="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FL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$1.02B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79,404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$12,861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15.1%</w:t>
            </w:r>
          </w:p>
        </w:tc>
      </w:tr>
      <w:tr>
        <w:tc>
          <w:tcPr>
            <w:tcW w:type="dxa" w:w="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$875M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68,192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$12,833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13.0%</w:t>
            </w:r>
          </w:p>
        </w:tc>
      </w:tr>
      <w:tr>
        <w:tc>
          <w:tcPr>
            <w:tcW w:type="dxa" w:w="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PA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$754M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50,933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$14,800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11.2%</w:t>
            </w:r>
          </w:p>
        </w:tc>
      </w:tr>
      <w:tr>
        <w:tc>
          <w:tcPr>
            <w:tcW w:type="dxa" w:w="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TX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$541M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43,961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$12,312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8.0%</w:t>
            </w:r>
          </w:p>
        </w:tc>
      </w:tr>
      <w:tr>
        <w:tc>
          <w:tcPr>
            <w:tcW w:type="dxa" w:w="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GA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$398M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33,164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$12,014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5.9%</w:t>
            </w:r>
          </w:p>
        </w:tc>
      </w:tr>
      <w:tr>
        <w:tc>
          <w:tcPr>
            <w:tcW w:type="dxa" w:w="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NJ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$332M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26,481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$12,553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4.9%</w:t>
            </w:r>
          </w:p>
        </w:tc>
      </w:tr>
      <w:tr>
        <w:tc>
          <w:tcPr>
            <w:tcW w:type="dxa" w:w="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IL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$326M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22,831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$14,287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4.8%</w:t>
            </w:r>
          </w:p>
        </w:tc>
      </w:tr>
      <w:tr>
        <w:tc>
          <w:tcPr>
            <w:tcW w:type="dxa" w:w="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TN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$318M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19,868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$16,026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4.7%</w:t>
            </w:r>
          </w:p>
        </w:tc>
      </w:tr>
      <w:tr>
        <w:tc>
          <w:tcPr>
            <w:tcW w:type="dxa" w:w="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OH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$258M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20,259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$12,714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3.8%</w:t>
            </w:r>
          </w:p>
        </w:tc>
      </w:tr>
      <w:tr>
        <w:tc>
          <w:tcPr>
            <w:tcW w:type="dxa" w:w="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MI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$217M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$14,447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3.2%</w:t>
            </w:r>
          </w:p>
        </w:tc>
      </w:tr>
    </w:tbl>
    <w:p>
      <w:pPr>
        <w:spacing w:after="60" w:before="100"/>
      </w:pP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Finding: Florida dominates total revenue ($1.02B) through auction volume, not premium pricing. Pennsylvania and Tennessee are the only dual-strength markets — ranking top 4 in both revenue and avg price. Note: Canadian provinces ON and QC appear in the dataset representing a cross-border export segment (ON avg price: $16,663).</w:t>
      </w:r>
    </w:p>
    <w:p>
      <w:pPr>
        <w:pBdr>
          <w:left w:val="single" w:color="3D8EF8" w:sz="24" w:space="8"/>
        </w:pBdr>
        <w:spacing w:after="80" w:before="240"/>
      </w:pPr>
      <w:r>
        <w:rPr>
          <w:rFonts w:ascii="Calibri" w:cs="Calibri" w:eastAsia="Calibri" w:hAnsi="Calibri"/>
          <w:b/>
          <w:bCs/>
          <w:color w:val="0F1117"/>
          <w:sz w:val="28"/>
          <w:szCs w:val="28"/>
        </w:rPr>
        <w:t xml:space="preserve">Q17 — Correlation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200"/>
        <w:gridCol w:w="1000"/>
        <w:gridCol w:w="1800"/>
        <w:gridCol w:w="2460"/>
      </w:tblGrid>
      <w:tr>
        <w:trPr>
          <w:tblHeader/>
        </w:trPr>
        <w:tc>
          <w:tcPr>
            <w:tcW w:type="dxa" w:w="17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Pearson r</w:t>
            </w:r>
          </w:p>
        </w:tc>
        <w:tc>
          <w:tcPr>
            <w:tcW w:type="dxa" w:w="12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Spearman r</w:t>
            </w:r>
          </w:p>
        </w:tc>
        <w:tc>
          <w:tcPr>
            <w:tcW w:type="dxa" w:w="10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r²</w:t>
            </w:r>
          </w:p>
        </w:tc>
        <w:tc>
          <w:tcPr>
            <w:tcW w:type="dxa" w:w="18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Strength</w:t>
            </w:r>
          </w:p>
        </w:tc>
        <w:tc>
          <w:tcPr>
            <w:tcW w:type="dxa" w:w="246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Direction</w:t>
            </w:r>
          </w:p>
        </w:tc>
      </w:tr>
      <w:tr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mmr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0.978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0.978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95.6%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Very Strong</w:t>
            </w:r>
          </w:p>
        </w:tc>
        <w:tc>
          <w:tcPr>
            <w:tcW w:type="dxa" w:w="24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vehicle_age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-0.655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-0.675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42.9%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24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odometer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-0.642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-0.701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41.2%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24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condition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0.353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0.473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12.5%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Weak</w:t>
            </w:r>
          </w:p>
        </w:tc>
        <w:tc>
          <w:tcPr>
            <w:tcW w:type="dxa" w:w="24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Positive</w:t>
            </w:r>
          </w:p>
        </w:tc>
      </w:tr>
    </w:tbl>
    <w:p>
      <w:pPr>
        <w:spacing w:after="60" w:before="100"/>
      </w:pP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Finding: MMR explains 95.6% of price variance but constitutes data leakage in predictive models — it is a market benchmark, not an independent variable. Excluding MMR, vehicle_age and odometer are the strongest real predictors (~41–43% r² each). Condition is surprisingly weak (12.5%) and requires non-linear encoding. The Spearman-Pearson gap for condition (+0.120) and odometer (-0.059) confirms both relationships are non-linear.</w:t>
      </w:r>
    </w:p>
    <w:p>
      <w:pPr>
        <w:pBdr>
          <w:left w:val="single" w:color="D97706" w:sz="24" w:space="8"/>
        </w:pBdr>
        <w:spacing w:after="80" w:before="240"/>
      </w:pPr>
      <w:r>
        <w:rPr>
          <w:rFonts w:ascii="Calibri" w:cs="Calibri" w:eastAsia="Calibri" w:hAnsi="Calibri"/>
          <w:b/>
          <w:bCs/>
          <w:color w:val="0F1117"/>
          <w:sz w:val="28"/>
          <w:szCs w:val="28"/>
        </w:rPr>
        <w:t xml:space="preserve">Q21 — Top 10 Models by Volume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1500"/>
        <w:gridCol w:w="1000"/>
        <w:gridCol w:w="1200"/>
        <w:gridCol w:w="1000"/>
        <w:gridCol w:w="2660"/>
      </w:tblGrid>
      <w:tr>
        <w:trPr>
          <w:tblHeader/>
        </w:trPr>
        <w:tc>
          <w:tcPr>
            <w:tcW w:type="dxa" w:w="5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10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Make</w:t>
            </w:r>
          </w:p>
        </w:tc>
        <w:tc>
          <w:tcPr>
            <w:tcW w:type="dxa" w:w="15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0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12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Avg Price</w:t>
            </w:r>
          </w:p>
        </w:tc>
        <w:tc>
          <w:tcPr>
            <w:tcW w:type="dxa" w:w="10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vs MMR</w:t>
            </w:r>
          </w:p>
        </w:tc>
        <w:tc>
          <w:tcPr>
            <w:tcW w:type="dxa" w:w="266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Avg Miles</w:t>
            </w:r>
          </w:p>
        </w:tc>
      </w:tr>
      <w:tr>
        <w:tc>
          <w:tcPr>
            <w:tcW w:type="dxa" w:w="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Nissan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Altima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19,188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$11,425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-$72</w:t>
            </w:r>
          </w:p>
        </w:tc>
        <w:tc>
          <w:tcPr>
            <w:tcW w:type="dxa" w:w="2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49,876</w:t>
            </w:r>
          </w:p>
        </w:tc>
      </w:tr>
      <w:tr>
        <w:tc>
          <w:tcPr>
            <w:tcW w:type="dxa" w:w="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Ford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F-150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13,536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$17,905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-$257</w:t>
            </w:r>
          </w:p>
        </w:tc>
        <w:tc>
          <w:tcPr>
            <w:tcW w:type="dxa" w:w="2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75,049</w:t>
            </w:r>
          </w:p>
        </w:tc>
      </w:tr>
      <w:tr>
        <w:tc>
          <w:tcPr>
            <w:tcW w:type="dxa" w:w="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Ford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Fusion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12,793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$12,356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-$212</w:t>
            </w:r>
          </w:p>
        </w:tc>
        <w:tc>
          <w:tcPr>
            <w:tcW w:type="dxa" w:w="2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47,441</w:t>
            </w:r>
          </w:p>
        </w:tc>
      </w:tr>
      <w:tr>
        <w:tc>
          <w:tcPr>
            <w:tcW w:type="dxa" w:w="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Toyota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Camry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12,418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$11,194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-$144</w:t>
            </w:r>
          </w:p>
        </w:tc>
        <w:tc>
          <w:tcPr>
            <w:tcW w:type="dxa" w:w="2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66,710</w:t>
            </w:r>
          </w:p>
        </w:tc>
      </w:tr>
      <w:tr>
        <w:tc>
          <w:tcPr>
            <w:tcW w:type="dxa" w:w="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Ford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Escape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11,707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$13,992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-$196</w:t>
            </w:r>
          </w:p>
        </w:tc>
        <w:tc>
          <w:tcPr>
            <w:tcW w:type="dxa" w:w="2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56,004</w:t>
            </w:r>
          </w:p>
        </w:tc>
      </w:tr>
      <w:tr>
        <w:tc>
          <w:tcPr>
            <w:tcW w:type="dxa" w:w="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Ford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Focus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10,283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$9,325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-$175</w:t>
            </w:r>
          </w:p>
        </w:tc>
        <w:tc>
          <w:tcPr>
            <w:tcW w:type="dxa" w:w="2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49,273</w:t>
            </w:r>
          </w:p>
        </w:tc>
      </w:tr>
      <w:tr>
        <w:tc>
          <w:tcPr>
            <w:tcW w:type="dxa" w:w="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Honda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Accord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9,022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$9,664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-$22</w:t>
            </w:r>
          </w:p>
        </w:tc>
        <w:tc>
          <w:tcPr>
            <w:tcW w:type="dxa" w:w="2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84,814</w:t>
            </w:r>
          </w:p>
        </w:tc>
      </w:tr>
      <w:tr>
        <w:tc>
          <w:tcPr>
            <w:tcW w:type="dxa" w:w="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Dodge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Grand Caravan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7,859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$11,426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-$100</w:t>
            </w:r>
          </w:p>
        </w:tc>
        <w:tc>
          <w:tcPr>
            <w:tcW w:type="dxa" w:w="2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66,083</w:t>
            </w:r>
          </w:p>
        </w:tc>
      </w:tr>
      <w:tr>
        <w:tc>
          <w:tcPr>
            <w:tcW w:type="dxa" w:w="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Chevrolet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Impala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7,813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$8,035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-$239</w:t>
            </w:r>
          </w:p>
        </w:tc>
        <w:tc>
          <w:tcPr>
            <w:tcW w:type="dxa" w:w="2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81,782</w:t>
            </w:r>
          </w:p>
        </w:tc>
      </w:tr>
    </w:tbl>
    <w:p>
      <w:pPr>
        <w:spacing w:after="60" w:before="100"/>
      </w:pP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Finding: Nissan Altima leads volume (19,188 units) but Ford dominates with 4 models totalling 48,319 combined units. Only the F-150 ($17,905) generates above-fleet-average revenue. Critically, all 10 best-selling models sell below MMR — confirming high volume creates buyer pricing leverage. The top 10 models represent only 19.7% of total revenue, confirming a highly fragmented market.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F1117"/>
          <w:sz w:val="36"/>
          <w:szCs w:val="36"/>
        </w:rPr>
        <w:t xml:space="preserve">5. Power BI Dashboard</w:t>
      </w:r>
    </w:p>
    <w:p>
      <w:pPr>
        <w:pBdr>
          <w:bottom w:val="single" w:color="3D8EF8" w:sz="6" w:space="1"/>
        </w:pBdr>
        <w:spacing w:after="80" w:before="80"/>
      </w:pP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Power BI dashboard translates the Python EDA findings into an interactive, business-ready visualisation suite. It consists of three pages, each targeting a distinct analytical dimension.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F1117"/>
          <w:sz w:val="24"/>
          <w:szCs w:val="24"/>
        </w:rPr>
        <w:t xml:space="preserve">Dashboard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Canvas Size</w:t>
            </w:r>
          </w:p>
        </w:tc>
        <w:tc>
          <w:tcPr>
            <w:tcW w:type="dxa" w:w="6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1280 × 720 pixels (16:9 widescreen)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Theme</w:t>
            </w:r>
          </w:p>
        </w:tc>
        <w:tc>
          <w:tcPr>
            <w:tcW w:type="dxa" w:w="6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Dark Executive — navy/black background, semantic colour coding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Pages</w:t>
            </w:r>
          </w:p>
        </w:tc>
        <w:tc>
          <w:tcPr>
            <w:tcW w:type="dxa" w:w="6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 (Overview · Pricing &amp; Depreciation · Regional Analysis)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Total Visuals</w:t>
            </w:r>
          </w:p>
        </w:tc>
        <w:tc>
          <w:tcPr>
            <w:tcW w:type="dxa" w:w="6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46 (charts, KPI cards, slicers, navigation shapes)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Slicers</w:t>
            </w:r>
          </w:p>
        </w:tc>
        <w:tc>
          <w:tcPr>
            <w:tcW w:type="dxa" w:w="6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 synced across all pages (Sale Year · Make · Body · State)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DAX Measures</w:t>
            </w:r>
          </w:p>
        </w:tc>
        <w:tc>
          <w:tcPr>
            <w:tcW w:type="dxa" w:w="6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18 custom measures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Advanced Visuals</w:t>
            </w:r>
          </w:p>
        </w:tc>
        <w:tc>
          <w:tcPr>
            <w:tcW w:type="dxa" w:w="6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Filled map · Scatter chart · Combo chart · Pivot table with conditional format</w:t>
            </w:r>
          </w:p>
        </w:tc>
      </w:tr>
    </w:tbl>
    <w:p>
      <w:pPr>
        <w:spacing w:after="80" w:before="160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Page 1 — Overview Dashboard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Four KPI cards (Units Sold: 534K · Total Revenue: $6,754M · Avg Selling Price: $12,643 · Avg Price vs MMR: -$165.07 in red) anchored at the top. Charts: Monthly Revenue Trend (dual axis with Units Sold), Top 5 Body Type Revenue (donut), Quarterly Revenue (combo chart), Quarterly Unit Sold &amp; Revenue (pivot table), Top 10 Makes by Revenue (bar with green-to-red gradient), Revenue per Age (colour-graded bar).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Page 2 — Pricing &amp; Depreciation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Four KPI cards (Avg Mileage: 69.66K · Avg Price Diff %: -0.67 · Total Price Difference: -$88M · % Above MMR: 0.47). Charts: Top 10 Avg vs MMR by Make (all green — above-market makes), Odometer vs Price (scatter with mileage bucket colours), Avg Price by Mileage Bucket (green-to-red gradient with fleet avg reference line at $12,643), Avg Price by Condition Bucket (Poor=red → Excellent=green), Price Efficiency by Make (colour gradient with 1.0 reference line).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Page 3 — Regional Analysis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Two KPI cards (Total Revenue: $6,754M · Avg Selling Price: $12,643). Charts: Top 15 States by Revenue (green/amber/red gradient), Top 15 States by Avg Price (with fleet avg reference line), Revenue by State (filled map — requires Canadian province filter for correct US zoom), State Performance (pivot table with conditional formatting on all 5 metrics including Sales Contribution %).</w:t>
      </w:r>
    </w:p>
    <w:p>
      <w:pPr>
        <w:spacing w:after="80" w:before="160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5.1 DAX Measures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34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Formula Summary</w:t>
            </w:r>
          </w:p>
        </w:tc>
        <w:tc>
          <w:tcPr>
            <w:tcW w:type="dxa" w:w="376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3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SUM(sellingprice)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All pages — KPI, charts, map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Avg Selling Price</w:t>
            </w:r>
          </w:p>
        </w:tc>
        <w:tc>
          <w:tcPr>
            <w:tcW w:type="dxa" w:w="3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AVERAGE(sellingprice)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All pages — KPI, reference line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Units Sold</w:t>
            </w:r>
          </w:p>
        </w:tc>
        <w:tc>
          <w:tcPr>
            <w:tcW w:type="dxa" w:w="3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COUNT(vin)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KPI cards, combo chart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Avg MMR</w:t>
            </w:r>
          </w:p>
        </w:tc>
        <w:tc>
          <w:tcPr>
            <w:tcW w:type="dxa" w:w="3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AVERAGE(mmr)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Base for deviation measures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Avg Price vs MMR</w:t>
            </w:r>
          </w:p>
        </w:tc>
        <w:tc>
          <w:tcPr>
            <w:tcW w:type="dxa" w:w="3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Avg Selling Price - Avg MMR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KPI card (conditional red/green)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Avg Price vs MMR %</w:t>
            </w:r>
          </w:p>
        </w:tc>
        <w:tc>
          <w:tcPr>
            <w:tcW w:type="dxa" w:w="3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DIVIDE(difference, Avg MMR)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Tooltip on MMR bar chart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Price to MMR Ratio</w:t>
            </w:r>
          </w:p>
        </w:tc>
        <w:tc>
          <w:tcPr>
            <w:tcW w:type="dxa" w:w="3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DIVIDE(Avg Selling Price, Avg MMR)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Gauge visual base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Pricing Status</w:t>
            </w:r>
          </w:p>
        </w:tc>
        <w:tc>
          <w:tcPr>
            <w:tcW w:type="dxa" w:w="3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IF above MMR: "Above Market"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Conditional bar colour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% Above MMR</w:t>
            </w:r>
          </w:p>
        </w:tc>
        <w:tc>
          <w:tcPr>
            <w:tcW w:type="dxa" w:w="3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COUNT(above_mmr=TRUE) / COUNT(vin)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KPI card Page 2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Total Price Difference</w:t>
            </w:r>
          </w:p>
        </w:tc>
        <w:tc>
          <w:tcPr>
            <w:tcW w:type="dxa" w:w="3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SUM(price_vs_market)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KPI card Page 2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Avg Price Diff %</w:t>
            </w:r>
          </w:p>
        </w:tc>
        <w:tc>
          <w:tcPr>
            <w:tcW w:type="dxa" w:w="3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AVERAGE(price_vs_market_pct)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KPI card Page 2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Price Efficiency</w:t>
            </w:r>
          </w:p>
        </w:tc>
        <w:tc>
          <w:tcPr>
            <w:tcW w:type="dxa" w:w="3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DIVIDE(Avg Selling Price, Avg MMR)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Column chart by make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Sales Contribution %</w:t>
            </w:r>
          </w:p>
        </w:tc>
        <w:tc>
          <w:tcPr>
            <w:tcW w:type="dxa" w:w="3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DIVIDE(Total Revenue, ALL revenue)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Tooltip, pivot table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Revenue per Age</w:t>
            </w:r>
          </w:p>
        </w:tc>
        <w:tc>
          <w:tcPr>
            <w:tcW w:type="dxa" w:w="3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DIVIDE(Total Revenue, Avg Vehicle Age)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Bar chart Page 1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Sales Std Dev</w:t>
            </w:r>
          </w:p>
        </w:tc>
        <w:tc>
          <w:tcPr>
            <w:tcW w:type="dxa" w:w="3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STDEVX.P(sellingprice)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Tooltip — price consistency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Avg Vehicle Age</w:t>
            </w:r>
          </w:p>
        </w:tc>
        <w:tc>
          <w:tcPr>
            <w:tcW w:type="dxa" w:w="3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AVERAGE(vehicle_age)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KPI reference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Avg Mileage</w:t>
            </w:r>
          </w:p>
        </w:tc>
        <w:tc>
          <w:tcPr>
            <w:tcW w:type="dxa" w:w="3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AVERAGE(odometer)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KPI card Page 2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Quarterly Sales</w:t>
            </w:r>
          </w:p>
        </w:tc>
        <w:tc>
          <w:tcPr>
            <w:tcW w:type="dxa" w:w="3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CALCULATE with VALUES(quarter)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Combo chart base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F1117"/>
          <w:sz w:val="36"/>
          <w:szCs w:val="36"/>
        </w:rPr>
        <w:t xml:space="preserve">6. Limitations &amp; Caveats</w:t>
      </w:r>
    </w:p>
    <w:p>
      <w:pPr>
        <w:pBdr>
          <w:bottom w:val="single" w:color="3D8EF8" w:sz="6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Limitation</w:t>
            </w:r>
          </w:p>
        </w:tc>
        <w:tc>
          <w:tcPr>
            <w:tcW w:type="dxa" w:w="32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Sale dates cover only Oct 2014 – Dec 2015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YoY volume comparison is unreliable; only avg price growth (+20.4%) is a credible cross-year metric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Label as partial-year in all reporting; use monthly trend within 2015 instead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"Unknown" make/model (9,797 records)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Inflates volume counts; avg odometer 113,904 miles suggests salvage vehicles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Filter with df = df[df["make"] != "Unknown"] before model analysis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Canadian provinces ON and QC present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Treated as US states; ON geocodes incorrectly on world map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Exclude from map visual; analyse as separate cross-border export segment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 minimum selling price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Residual data error post-cleaning; distorts price distribution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Filter sellingprice &gt; 100 before regression or price modelling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Condition scale (1–49) is non-standard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Weak linear correlation (r = 0.353); relationship is non-linear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Apply pd.cut bucket encoding or squared term for ML models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MMR high correlation (r = 0.978)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Data leakage risk in predictive modelling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Exclude MMR from feature set in any ML model; use as benchmark only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F1117"/>
          <w:sz w:val="36"/>
          <w:szCs w:val="36"/>
        </w:rPr>
        <w:t xml:space="preserve">7. Recommended Next Steps</w:t>
      </w:r>
    </w:p>
    <w:p>
      <w:pPr>
        <w:pBdr>
          <w:bottom w:val="single" w:color="3D8EF8" w:sz="6" w:space="1"/>
        </w:pBdr>
        <w:spacing w:after="80" w:before="80"/>
      </w:pP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following extensions would strengthen this project and are recommended as portfolio enhancements: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3D8EF8"/>
          <w:sz w:val="22"/>
          <w:szCs w:val="22"/>
        </w:rPr>
        <w:t xml:space="preserve">1. Price Prediction Machine Learning Model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Build a Random Forest or XGBoost regression model using vehicle_age, odometer, condition, make, body, and state as features. Exclude MMR to avoid data leakage. Target variable: sellingprice. Expected R² &gt; 0.75 based on correlation analysis. This is the natural next step after EDA and would complete the full data science workflow.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2. Segmented Analysis by Make Tier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Separate the dataset into three tiers — Luxury (BMW, Mercedes, Porsche), Mainstream (Toyota, Honda, Ford), and Trucks (F-150, Silverado, Tacoma). Analyse depreciation curves, MMR deviation patterns, and regional distribution independently for each tier. Fleet-level averages mask significant differences in behaviour between segments.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3. Canadian Province Investigation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Quantify the ON and QC cross-border export segment — volume, avg price, seller profile, and make mix. Ontario leads avg price at $16,663 vs the US fleet avg of $12,643, suggesting a distinct buyer profile worth analysing separately.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4. Statistical Significance Testing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Apply t-tests or ANOVA to confirm whether state-level and body-type price differences are statistically significant, not just descriptively different. This would add rigour to the regional analysis findings and validate the EDA conclusions with formal hypothesis testing.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6A34A"/>
          <w:sz w:val="22"/>
          <w:szCs w:val="22"/>
        </w:rPr>
        <w:t xml:space="preserve">5. Power BI Service Publication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Publish the .pbix file to Power BI Service (free with work/school email). Share the live dashboard link in the GitHub README and LinkedIn profile. This makes the dashboard interactive for any recruiter to explore without installing Power BI Desktop.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F1117"/>
          <w:sz w:val="36"/>
          <w:szCs w:val="36"/>
        </w:rPr>
        <w:t xml:space="preserve">8. Tools &amp; Technologies</w:t>
      </w:r>
    </w:p>
    <w:p>
      <w:pPr>
        <w:pBdr>
          <w:bottom w:val="single" w:color="3D8EF8" w:sz="6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260"/>
      </w:tblGrid>
      <w:tr>
        <w:trPr>
          <w:tblHeader/>
        </w:trPr>
        <w:tc>
          <w:tcPr>
            <w:tcW w:type="dxa" w:w="25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Tool / Library</w:t>
            </w:r>
          </w:p>
        </w:tc>
        <w:tc>
          <w:tcPr>
            <w:tcW w:type="dxa" w:w="160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 / Type</w:t>
            </w:r>
          </w:p>
        </w:tc>
        <w:tc>
          <w:tcPr>
            <w:tcW w:type="dxa" w:w="5260"/>
            <w:tcBorders>
              <w:top w:val="single" w:color="0F1117" w:sz="4"/>
              <w:left w:val="single" w:color="0F1117" w:sz="4"/>
              <w:bottom w:val="single" w:color="0F1117" w:sz="4"/>
              <w:right w:val="single" w:color="0F1117" w:sz="4"/>
            </w:tcBorders>
            <w:shd w:fill="0F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 in Project</w:t>
            </w:r>
          </w:p>
        </w:tc>
      </w:tr>
      <w:tr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Python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3.x</w:t>
            </w:r>
          </w:p>
        </w:tc>
        <w:tc>
          <w:tcPr>
            <w:tcW w:type="dxa" w:w="5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Primary analysis language</w:t>
            </w:r>
          </w:p>
        </w:tc>
      </w:tr>
      <w:tr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pandas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Latest</w:t>
            </w:r>
          </w:p>
        </w:tc>
        <w:tc>
          <w:tcPr>
            <w:tcW w:type="dxa" w:w="5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Data loading, cleaning, aggregation, feature engineering</w:t>
            </w:r>
          </w:p>
        </w:tc>
      </w:tr>
      <w:tr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numpy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Latest</w:t>
            </w:r>
          </w:p>
        </w:tc>
        <w:tc>
          <w:tcPr>
            <w:tcW w:type="dxa" w:w="5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Numerical operations, array handling</w:t>
            </w:r>
          </w:p>
        </w:tc>
      </w:tr>
      <w:tr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matplotlib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Latest</w:t>
            </w:r>
          </w:p>
        </w:tc>
        <w:tc>
          <w:tcPr>
            <w:tcW w:type="dxa" w:w="5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Chart construction, subplot layouts, figure export</w:t>
            </w:r>
          </w:p>
        </w:tc>
      </w:tr>
      <w:tr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seaborn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Latest</w:t>
            </w:r>
          </w:p>
        </w:tc>
        <w:tc>
          <w:tcPr>
            <w:tcW w:type="dxa" w:w="5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Heatmaps, pairplots, distribution visualisations</w:t>
            </w:r>
          </w:p>
        </w:tc>
      </w:tr>
      <w:tr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scipy.stats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Latest</w:t>
            </w:r>
          </w:p>
        </w:tc>
        <w:tc>
          <w:tcPr>
            <w:tcW w:type="dxa" w:w="5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linregress (r, p, slope), zscore outlier detection</w:t>
            </w:r>
          </w:p>
        </w:tc>
      </w:tr>
      <w:tr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Power BI Desktop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Latest</w:t>
            </w:r>
          </w:p>
        </w:tc>
        <w:tc>
          <w:tcPr>
            <w:tcW w:type="dxa" w:w="5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Interactive dashboard — 3 pages, 46 visuals</w:t>
            </w:r>
          </w:p>
        </w:tc>
      </w:tr>
      <w:tr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DAX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Power BI native</w:t>
            </w:r>
          </w:p>
        </w:tc>
        <w:tc>
          <w:tcPr>
            <w:tcW w:type="dxa" w:w="5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18 custom measures including Price Efficiency, Revenue per Age</w:t>
            </w:r>
          </w:p>
        </w:tc>
      </w:tr>
      <w:tr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Kaggle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Public dataset</w:t>
            </w:r>
          </w:p>
        </w:tc>
        <w:tc>
          <w:tcPr>
            <w:tcW w:type="dxa" w:w="5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Vehicle Sales Data — 558,837 records</w:t>
            </w:r>
          </w:p>
        </w:tc>
      </w:tr>
      <w:tr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Jupyter Notebook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Latest</w:t>
            </w:r>
          </w:p>
        </w:tc>
        <w:tc>
          <w:tcPr>
            <w:tcW w:type="dxa" w:w="5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72 cells — code, markdown, and written conclusions per question</w:t>
            </w:r>
          </w:p>
        </w:tc>
      </w:tr>
    </w:tbl>
    <w:p>
      <w:pPr>
        <w:spacing w:after="0" w:before="200"/>
      </w:pPr>
    </w:p>
    <w:p>
      <w:pPr>
        <w:pBdr>
          <w:bottom w:val="single" w:color="3D8EF8" w:sz="6" w:space="1"/>
        </w:pBdr>
        <w:spacing w:after="80" w:before="80"/>
      </w:pPr>
    </w:p>
    <w:p>
      <w:pPr>
        <w:spacing w:after="120" w:before="120"/>
        <w:jc w:val="center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Dataset Source: </w:t>
      </w:r>
      <w:r>
        <w:rPr>
          <w:rFonts w:ascii="Calibri" w:cs="Calibri" w:eastAsia="Calibri" w:hAnsi="Calibri"/>
          <w:i/>
          <w:iCs/>
          <w:color w:val="3D8EF8"/>
          <w:sz w:val="18"/>
          <w:szCs w:val="18"/>
        </w:rPr>
        <w:t xml:space="preserve">kaggle.com/datasets/syedanwarafridi/vehicle-sales-data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   |   GitHub: </w:t>
      </w:r>
      <w:r>
        <w:rPr>
          <w:rFonts w:ascii="Calibri" w:cs="Calibri" w:eastAsia="Calibri" w:hAnsi="Calibri"/>
          <w:i/>
          <w:iCs/>
          <w:color w:val="3D8EF8"/>
          <w:sz w:val="18"/>
          <w:szCs w:val="18"/>
        </w:rPr>
        <w:t xml:space="preserve">Vehicle_Sales_EDA.ipynb  +  Dashboard_2.pbix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9026"/>
      </w:tabs>
      <w:spacing w:after="0"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Vehicle Sales Data Analysis Project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94A3B8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D8EF8" w:sz="6" w:space="1"/>
      </w:pBdr>
      <w:tabs>
        <w:tab w:val="right" w:pos="9026"/>
      </w:tabs>
      <w:spacing w:after="80" w:before="0"/>
    </w:pPr>
    <w:r>
      <w:rPr>
        <w:rFonts w:ascii="Calibri" w:cs="Calibri" w:eastAsia="Calibri" w:hAnsi="Calibri"/>
        <w:color w:val="94A3B8"/>
        <w:sz w:val="16"/>
        <w:szCs w:val="16"/>
      </w:rPr>
      <w:t xml:space="preserve">Vehicle Sales Analysis — Project Report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94A3B8"/>
        <w:sz w:val="16"/>
        <w:szCs w:val="16"/>
      </w:rPr>
      <w:t xml:space="preserve">Kaggle Dataset | Python EDA + Power BI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F11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F111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2026-04-01T06:05:26.311Z</dcterms:created>
  <dcterms:modified xsi:type="dcterms:W3CDTF">2026-04-01T06:05:26.312Z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