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jc w:val="center"/>
      </w:pPr>
      <w:r>
        <w:rPr>
          <w:rFonts w:ascii="Times New Roman" w:hAnsi="Times New Roman"/>
          <w:b/>
          <w:sz w:val="24"/>
        </w:rPr>
        <w:t>Predicting Long NYC Yellow Taxi Trips Using Python-Based AI Analytics</w:t>
      </w:r>
    </w:p>
    <w:p>
      <w:pPr>
        <w:spacing w:line="480" w:lineRule="auto"/>
        <w:jc w:val="center"/>
      </w:pPr>
      <w:r>
        <w:rPr>
          <w:rFonts w:ascii="Times New Roman" w:hAnsi="Times New Roman"/>
          <w:sz w:val="24"/>
        </w:rPr>
        <w:t>Soumith Kumar Ananthula</w:t>
      </w:r>
    </w:p>
    <w:p>
      <w:pPr>
        <w:spacing w:line="480" w:lineRule="auto"/>
        <w:jc w:val="center"/>
      </w:pPr>
      <w:r>
        <w:rPr>
          <w:rFonts w:ascii="Times New Roman" w:hAnsi="Times New Roman"/>
          <w:sz w:val="24"/>
        </w:rPr>
        <w:t>Varun Reddy Beesam</w:t>
      </w:r>
    </w:p>
    <w:p>
      <w:pPr>
        <w:spacing w:line="480" w:lineRule="auto"/>
        <w:jc w:val="center"/>
      </w:pPr>
      <w:r>
        <w:rPr>
          <w:rFonts w:ascii="Times New Roman" w:hAnsi="Times New Roman"/>
          <w:sz w:val="24"/>
        </w:rPr>
        <w:t>Vivek Doppalapudi</w:t>
      </w:r>
    </w:p>
    <w:p>
      <w:pPr>
        <w:spacing w:line="480" w:lineRule="auto"/>
        <w:jc w:val="center"/>
      </w:pPr>
      <w:r>
        <w:rPr>
          <w:rFonts w:ascii="Times New Roman" w:hAnsi="Times New Roman"/>
          <w:sz w:val="24"/>
        </w:rPr>
        <w:t>Real-World AI-Driven Analytics Solution Using Python</w:t>
      </w:r>
    </w:p>
    <w:p>
      <w:pPr>
        <w:spacing w:line="480" w:lineRule="auto"/>
        <w:jc w:val="center"/>
      </w:pPr>
      <w:r>
        <w:rPr>
          <w:rFonts w:ascii="Times New Roman" w:hAnsi="Times New Roman"/>
          <w:sz w:val="24"/>
        </w:rPr>
        <w:t>Project Day 1</w:t>
      </w:r>
    </w:p>
    <w:p>
      <w:pPr>
        <w:spacing w:line="480" w:lineRule="auto"/>
        <w:jc w:val="center"/>
      </w:pPr>
      <w:r>
        <w:rPr>
          <w:rFonts w:ascii="Times New Roman" w:hAnsi="Times New Roman"/>
          <w:sz w:val="24"/>
        </w:rPr>
        <w:t>June 19, 2026</w:t>
      </w:r>
    </w:p>
    <w:p>
      <w:r>
        <w:br w:type="page"/>
      </w:r>
    </w:p>
    <w:p>
      <w:pPr>
        <w:pStyle w:val="Heading1"/>
        <w:spacing w:line="480" w:lineRule="auto"/>
        <w:jc w:val="center"/>
      </w:pPr>
      <w:r>
        <w:rPr>
          <w:rFonts w:ascii="Times New Roman" w:hAnsi="Times New Roman"/>
          <w:b/>
          <w:sz w:val="24"/>
        </w:rPr>
        <w:t>Predicting Long NYC Yellow Taxi Trips Using Python-Based AI Analytics</w:t>
      </w:r>
    </w:p>
    <w:p>
      <w:pPr>
        <w:pStyle w:val="Heading1"/>
        <w:spacing w:line="480" w:lineRule="auto"/>
        <w:jc w:val="center"/>
      </w:pPr>
      <w:r>
        <w:rPr>
          <w:rFonts w:ascii="Times New Roman" w:hAnsi="Times New Roman"/>
          <w:b/>
          <w:sz w:val="24"/>
        </w:rPr>
        <w:t>Introduction and Problem Framing</w:t>
      </w:r>
    </w:p>
    <w:p>
      <w:pPr>
        <w:spacing w:line="480" w:lineRule="auto" w:after="0" w:before="0"/>
        <w:ind w:firstLine="720"/>
        <w:jc w:val="left"/>
      </w:pPr>
      <w:r>
        <w:rPr>
          <w:rFonts w:ascii="Times New Roman" w:hAnsi="Times New Roman"/>
          <w:sz w:val="24"/>
        </w:rPr>
        <w:t>New York City taxi service is a high-volume transportation system in which trip duration affects driver availability, passenger expectations, airport queues, congestion monitoring, and shift planning. This project framed a practical analytics question for taxi operators and city transportation analysts: Can a trip be classified as likely to last at least 30 minutes using structured trip information available in the NYC Taxi and Limousine Commission trip records? The project treats this as a business and societal problem because long trips influence how quickly vehicles return to dense pickup areas and how accurately riders and dispatch teams can plan service.</w:t>
      </w:r>
    </w:p>
    <w:p>
      <w:pPr>
        <w:spacing w:line="480" w:lineRule="auto" w:after="0" w:before="0"/>
        <w:ind w:firstLine="720"/>
        <w:jc w:val="left"/>
      </w:pPr>
      <w:r>
        <w:rPr>
          <w:rFonts w:ascii="Times New Roman" w:hAnsi="Times New Roman"/>
          <w:sz w:val="24"/>
        </w:rPr>
        <w:t>The selected artificial intelligence task was binary classification. The target variable, long_trip, equals 1 when a cleaned trip duration is at least 30 minutes and equals 0 otherwise. This target is easy for stakeholders to understand and supports operational decision-making. The model is not intended to deny rides, penalize drivers, or deprioritize neighborhoods. Instead, it is designed as a decision-support signal that can help teams anticipate vehicle availability and identify time periods or trip types that may create operational strain.</w:t>
      </w:r>
    </w:p>
    <w:p>
      <w:pPr>
        <w:pStyle w:val="Heading1"/>
        <w:spacing w:line="480" w:lineRule="auto"/>
        <w:jc w:val="center"/>
      </w:pPr>
      <w:r>
        <w:rPr>
          <w:rFonts w:ascii="Times New Roman" w:hAnsi="Times New Roman"/>
          <w:b/>
          <w:sz w:val="24"/>
        </w:rPr>
        <w:t>Dataset Exploration and Preprocessing</w:t>
      </w:r>
    </w:p>
    <w:p>
      <w:pPr>
        <w:spacing w:line="480" w:lineRule="auto" w:after="0" w:before="0"/>
        <w:ind w:firstLine="720"/>
        <w:jc w:val="left"/>
      </w:pPr>
      <w:r>
        <w:rPr>
          <w:rFonts w:ascii="Times New Roman" w:hAnsi="Times New Roman"/>
          <w:sz w:val="24"/>
        </w:rPr>
        <w:t>The analysis used the official NYC Taxi and Limousine Commission yellow taxi trip record dataset for January 2024 (New York City Taxi and Limousine Commission [NYC TLC], 2024a). The raw parquet file contained 2,964,624 records. The Python pipeline selected relevant fields, including pickup and dropoff timestamps, passenger count, trip distance, rate code, pickup and dropoff location IDs, fare fields, and total amount. The pipeline was built in Python with pandas, NumPy, Matplotlib, Seaborn, and scikit-learn so the work could run locally and in Google Colab (Hunter, 2007; McKinney, 2010; Pedregosa et al., 2011; Waskom, 2021).</w:t>
      </w:r>
    </w:p>
    <w:p>
      <w:pPr>
        <w:spacing w:line="480" w:lineRule="auto" w:after="0" w:before="0"/>
        <w:ind w:firstLine="720"/>
        <w:jc w:val="left"/>
      </w:pPr>
      <w:r>
        <w:rPr>
          <w:rFonts w:ascii="Times New Roman" w:hAnsi="Times New Roman"/>
          <w:sz w:val="24"/>
        </w:rPr>
        <w:t>Preprocessing began by converting timestamp columns into datetime values and deriving trip_duration_min from the difference between dropoff and pickup times. The pipeline then applied a sequence of cleaning rules to remove records that likely reflected data-entry issues or trips outside the intended analysis scope. The script retained January 2024 pickups, durations between 1 and 180 minutes, distances between 0.1 and 60 miles, passenger counts from 1 to 6, positive fares and totals, standard TLC rate codes from 1 to 6, and valid pickup and dropoff zone IDs from 1 to 265. After cleaning, 2,684,599 realistic trips remained, representing 90.55% of the raw file.</w:t>
      </w:r>
    </w:p>
    <w:p>
      <w:pPr>
        <w:spacing w:line="480" w:lineRule="auto" w:after="0" w:before="0"/>
        <w:ind w:firstLine="720"/>
        <w:jc w:val="left"/>
      </w:pPr>
      <w:r>
        <w:rPr>
          <w:rFonts w:ascii="Times New Roman" w:hAnsi="Times New Roman"/>
          <w:sz w:val="24"/>
        </w:rPr>
        <w:t>Because the full cleaned dataset was large, the model used a deterministic 120,000-row sample with random_state = 42. This choice preserved reproducibility while keeping runtime reasonable in Colab. The sampled data had a median duration of 11.6 minutes and a median distance of 1.7 miles. Long trips were a minority class: 10,537 trips, or 8.78%, lasted 30 minutes or longer.</w:t>
      </w:r>
    </w:p>
    <w:p>
      <w:pPr>
        <w:spacing w:line="480" w:lineRule="auto" w:after="0"/>
      </w:pPr>
      <w:r>
        <w:rPr>
          <w:rFonts w:ascii="Times New Roman" w:hAnsi="Times New Roman"/>
          <w:b/>
          <w:sz w:val="24"/>
        </w:rPr>
        <w:t>Table 1</w:t>
      </w:r>
    </w:p>
    <w:p>
      <w:pPr>
        <w:spacing w:line="480" w:lineRule="auto" w:after="0"/>
      </w:pPr>
      <w:r>
        <w:rPr>
          <w:rFonts w:ascii="Times New Roman" w:hAnsi="Times New Roman"/>
          <w:i/>
          <w:sz w:val="24"/>
        </w:rPr>
        <w:t>Preprocessing Audit Summary</w:t>
      </w:r>
    </w:p>
    <w:tbl>
      <w:tblPr>
        <w:tblStyle w:val="TableGrid"/>
        <w:tblW w:type="auto" w:w="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20"/>
        <w:gridCol w:w="3120"/>
        <w:gridCol w:w="3120"/>
      </w:tblGrid>
      <w:tr>
        <w:tc>
          <w:tcPr>
            <w:tcW w:type="dxa" w:w="6048"/>
            <w:vAlign w:val="center"/>
            <w:shd w:fill="F2F2F2"/>
          </w:tcPr>
          <w:p>
            <w:pPr>
              <w:jc w:val="center"/>
            </w:pPr>
            <w:r/>
            <w:r>
              <w:rPr>
                <w:rFonts w:ascii="Times New Roman" w:hAnsi="Times New Roman"/>
                <w:b/>
                <w:sz w:val="20"/>
              </w:rPr>
              <w:t>Preprocessing step</w:t>
            </w:r>
          </w:p>
        </w:tc>
        <w:tc>
          <w:tcPr>
            <w:tcW w:type="dxa" w:w="1584"/>
            <w:vAlign w:val="center"/>
            <w:shd w:fill="F2F2F2"/>
          </w:tcPr>
          <w:p>
            <w:pPr>
              <w:jc w:val="center"/>
            </w:pPr>
            <w:r/>
            <w:r>
              <w:rPr>
                <w:rFonts w:ascii="Times New Roman" w:hAnsi="Times New Roman"/>
                <w:b/>
                <w:sz w:val="20"/>
              </w:rPr>
              <w:t>Rows removed</w:t>
            </w:r>
          </w:p>
        </w:tc>
        <w:tc>
          <w:tcPr>
            <w:tcW w:type="dxa" w:w="1584"/>
            <w:vAlign w:val="center"/>
            <w:shd w:fill="F2F2F2"/>
          </w:tcPr>
          <w:p>
            <w:pPr>
              <w:jc w:val="center"/>
            </w:pPr>
            <w:r/>
            <w:r>
              <w:rPr>
                <w:rFonts w:ascii="Times New Roman" w:hAnsi="Times New Roman"/>
                <w:b/>
                <w:sz w:val="20"/>
              </w:rPr>
              <w:t>Rows after</w:t>
            </w:r>
          </w:p>
        </w:tc>
      </w:tr>
      <w:tr>
        <w:tc>
          <w:tcPr>
            <w:tcW w:type="dxa" w:w="6048"/>
            <w:vAlign w:val="center"/>
          </w:tcPr>
          <w:p>
            <w:pPr>
              <w:jc w:val="left"/>
            </w:pPr>
            <w:r/>
            <w:r>
              <w:rPr>
                <w:rFonts w:ascii="Times New Roman" w:hAnsi="Times New Roman"/>
                <w:b w:val="0"/>
                <w:sz w:val="18"/>
              </w:rPr>
              <w:t>Kept trips with pickup timestamps in January 2024.</w:t>
            </w:r>
          </w:p>
        </w:tc>
        <w:tc>
          <w:tcPr>
            <w:tcW w:type="dxa" w:w="1584"/>
            <w:vAlign w:val="center"/>
          </w:tcPr>
          <w:p>
            <w:pPr>
              <w:jc w:val="right"/>
            </w:pPr>
            <w:r/>
            <w:r>
              <w:rPr>
                <w:rFonts w:ascii="Times New Roman" w:hAnsi="Times New Roman"/>
                <w:b w:val="0"/>
                <w:sz w:val="18"/>
              </w:rPr>
              <w:t>18</w:t>
            </w:r>
          </w:p>
        </w:tc>
        <w:tc>
          <w:tcPr>
            <w:tcW w:type="dxa" w:w="1584"/>
            <w:vAlign w:val="center"/>
          </w:tcPr>
          <w:p>
            <w:pPr>
              <w:jc w:val="right"/>
            </w:pPr>
            <w:r/>
            <w:r>
              <w:rPr>
                <w:rFonts w:ascii="Times New Roman" w:hAnsi="Times New Roman"/>
                <w:b w:val="0"/>
                <w:sz w:val="18"/>
              </w:rPr>
              <w:t>2,964,606</w:t>
            </w:r>
          </w:p>
        </w:tc>
      </w:tr>
      <w:tr>
        <w:tc>
          <w:tcPr>
            <w:tcW w:type="dxa" w:w="6048"/>
            <w:vAlign w:val="center"/>
          </w:tcPr>
          <w:p>
            <w:pPr>
              <w:jc w:val="left"/>
            </w:pPr>
            <w:r/>
            <w:r>
              <w:rPr>
                <w:rFonts w:ascii="Times New Roman" w:hAnsi="Times New Roman"/>
                <w:b w:val="0"/>
                <w:sz w:val="18"/>
              </w:rPr>
              <w:t>Removed trips shorter than 1 minute or longer than 180 minutes.</w:t>
            </w:r>
          </w:p>
        </w:tc>
        <w:tc>
          <w:tcPr>
            <w:tcW w:type="dxa" w:w="1584"/>
            <w:vAlign w:val="center"/>
          </w:tcPr>
          <w:p>
            <w:pPr>
              <w:jc w:val="right"/>
            </w:pPr>
            <w:r/>
            <w:r>
              <w:rPr>
                <w:rFonts w:ascii="Times New Roman" w:hAnsi="Times New Roman"/>
                <w:b w:val="0"/>
                <w:sz w:val="18"/>
              </w:rPr>
              <w:t>37,104</w:t>
            </w:r>
          </w:p>
        </w:tc>
        <w:tc>
          <w:tcPr>
            <w:tcW w:type="dxa" w:w="1584"/>
            <w:vAlign w:val="center"/>
          </w:tcPr>
          <w:p>
            <w:pPr>
              <w:jc w:val="right"/>
            </w:pPr>
            <w:r/>
            <w:r>
              <w:rPr>
                <w:rFonts w:ascii="Times New Roman" w:hAnsi="Times New Roman"/>
                <w:b w:val="0"/>
                <w:sz w:val="18"/>
              </w:rPr>
              <w:t>2,927,502</w:t>
            </w:r>
          </w:p>
        </w:tc>
      </w:tr>
      <w:tr>
        <w:tc>
          <w:tcPr>
            <w:tcW w:type="dxa" w:w="6048"/>
            <w:vAlign w:val="center"/>
          </w:tcPr>
          <w:p>
            <w:pPr>
              <w:jc w:val="left"/>
            </w:pPr>
            <w:r/>
            <w:r>
              <w:rPr>
                <w:rFonts w:ascii="Times New Roman" w:hAnsi="Times New Roman"/>
                <w:b w:val="0"/>
                <w:sz w:val="18"/>
              </w:rPr>
              <w:t>Removed trips with zero, near-zero, negative, or extreme distances.</w:t>
            </w:r>
          </w:p>
        </w:tc>
        <w:tc>
          <w:tcPr>
            <w:tcW w:type="dxa" w:w="1584"/>
            <w:vAlign w:val="center"/>
          </w:tcPr>
          <w:p>
            <w:pPr>
              <w:jc w:val="right"/>
            </w:pPr>
            <w:r/>
            <w:r>
              <w:rPr>
                <w:rFonts w:ascii="Times New Roman" w:hAnsi="Times New Roman"/>
                <w:b w:val="0"/>
                <w:sz w:val="18"/>
              </w:rPr>
              <w:t>38,743</w:t>
            </w:r>
          </w:p>
        </w:tc>
        <w:tc>
          <w:tcPr>
            <w:tcW w:type="dxa" w:w="1584"/>
            <w:vAlign w:val="center"/>
          </w:tcPr>
          <w:p>
            <w:pPr>
              <w:jc w:val="right"/>
            </w:pPr>
            <w:r/>
            <w:r>
              <w:rPr>
                <w:rFonts w:ascii="Times New Roman" w:hAnsi="Times New Roman"/>
                <w:b w:val="0"/>
                <w:sz w:val="18"/>
              </w:rPr>
              <w:t>2,888,759</w:t>
            </w:r>
          </w:p>
        </w:tc>
      </w:tr>
      <w:tr>
        <w:tc>
          <w:tcPr>
            <w:tcW w:type="dxa" w:w="6048"/>
            <w:vAlign w:val="center"/>
          </w:tcPr>
          <w:p>
            <w:pPr>
              <w:jc w:val="left"/>
            </w:pPr>
            <w:r/>
            <w:r>
              <w:rPr>
                <w:rFonts w:ascii="Times New Roman" w:hAnsi="Times New Roman"/>
                <w:b w:val="0"/>
                <w:sz w:val="18"/>
              </w:rPr>
              <w:t>Kept trips with passenger_count from 1 to 6.</w:t>
            </w:r>
          </w:p>
        </w:tc>
        <w:tc>
          <w:tcPr>
            <w:tcW w:type="dxa" w:w="1584"/>
            <w:vAlign w:val="center"/>
          </w:tcPr>
          <w:p>
            <w:pPr>
              <w:jc w:val="right"/>
            </w:pPr>
            <w:r/>
            <w:r>
              <w:rPr>
                <w:rFonts w:ascii="Times New Roman" w:hAnsi="Times New Roman"/>
                <w:b w:val="0"/>
                <w:sz w:val="18"/>
              </w:rPr>
              <w:t>147,459</w:t>
            </w:r>
          </w:p>
        </w:tc>
        <w:tc>
          <w:tcPr>
            <w:tcW w:type="dxa" w:w="1584"/>
            <w:vAlign w:val="center"/>
          </w:tcPr>
          <w:p>
            <w:pPr>
              <w:jc w:val="right"/>
            </w:pPr>
            <w:r/>
            <w:r>
              <w:rPr>
                <w:rFonts w:ascii="Times New Roman" w:hAnsi="Times New Roman"/>
                <w:b w:val="0"/>
                <w:sz w:val="18"/>
              </w:rPr>
              <w:t>2,741,300</w:t>
            </w:r>
          </w:p>
        </w:tc>
      </w:tr>
      <w:tr>
        <w:tc>
          <w:tcPr>
            <w:tcW w:type="dxa" w:w="6048"/>
            <w:vAlign w:val="center"/>
          </w:tcPr>
          <w:p>
            <w:pPr>
              <w:jc w:val="left"/>
            </w:pPr>
            <w:r/>
            <w:r>
              <w:rPr>
                <w:rFonts w:ascii="Times New Roman" w:hAnsi="Times New Roman"/>
                <w:b w:val="0"/>
                <w:sz w:val="18"/>
              </w:rPr>
              <w:t>Removed trips with non-positive fare_amount.</w:t>
            </w:r>
          </w:p>
        </w:tc>
        <w:tc>
          <w:tcPr>
            <w:tcW w:type="dxa" w:w="1584"/>
            <w:vAlign w:val="center"/>
          </w:tcPr>
          <w:p>
            <w:pPr>
              <w:jc w:val="right"/>
            </w:pPr>
            <w:r/>
            <w:r>
              <w:rPr>
                <w:rFonts w:ascii="Times New Roman" w:hAnsi="Times New Roman"/>
                <w:b w:val="0"/>
                <w:sz w:val="18"/>
              </w:rPr>
              <w:t>29,647</w:t>
            </w:r>
          </w:p>
        </w:tc>
        <w:tc>
          <w:tcPr>
            <w:tcW w:type="dxa" w:w="1584"/>
            <w:vAlign w:val="center"/>
          </w:tcPr>
          <w:p>
            <w:pPr>
              <w:jc w:val="right"/>
            </w:pPr>
            <w:r/>
            <w:r>
              <w:rPr>
                <w:rFonts w:ascii="Times New Roman" w:hAnsi="Times New Roman"/>
                <w:b w:val="0"/>
                <w:sz w:val="18"/>
              </w:rPr>
              <w:t>2,711,653</w:t>
            </w:r>
          </w:p>
        </w:tc>
      </w:tr>
      <w:tr>
        <w:tc>
          <w:tcPr>
            <w:tcW w:type="dxa" w:w="6048"/>
            <w:vAlign w:val="center"/>
          </w:tcPr>
          <w:p>
            <w:pPr>
              <w:jc w:val="left"/>
            </w:pPr>
            <w:r/>
            <w:r>
              <w:rPr>
                <w:rFonts w:ascii="Times New Roman" w:hAnsi="Times New Roman"/>
                <w:b w:val="0"/>
                <w:sz w:val="18"/>
              </w:rPr>
              <w:t>Kept standard TLC rate codes 1 through 6.</w:t>
            </w:r>
          </w:p>
        </w:tc>
        <w:tc>
          <w:tcPr>
            <w:tcW w:type="dxa" w:w="1584"/>
            <w:vAlign w:val="center"/>
          </w:tcPr>
          <w:p>
            <w:pPr>
              <w:jc w:val="right"/>
            </w:pPr>
            <w:r/>
            <w:r>
              <w:rPr>
                <w:rFonts w:ascii="Times New Roman" w:hAnsi="Times New Roman"/>
                <w:b w:val="0"/>
                <w:sz w:val="18"/>
              </w:rPr>
              <w:t>27,054</w:t>
            </w:r>
          </w:p>
        </w:tc>
        <w:tc>
          <w:tcPr>
            <w:tcW w:type="dxa" w:w="1584"/>
            <w:vAlign w:val="center"/>
          </w:tcPr>
          <w:p>
            <w:pPr>
              <w:jc w:val="right"/>
            </w:pPr>
            <w:r/>
            <w:r>
              <w:rPr>
                <w:rFonts w:ascii="Times New Roman" w:hAnsi="Times New Roman"/>
                <w:b w:val="0"/>
                <w:sz w:val="18"/>
              </w:rPr>
              <w:t>2,684,599</w:t>
            </w:r>
          </w:p>
        </w:tc>
      </w:tr>
      <w:tr>
        <w:tc>
          <w:tcPr>
            <w:tcW w:type="dxa" w:w="6048"/>
            <w:vAlign w:val="center"/>
          </w:tcPr>
          <w:p>
            <w:pPr>
              <w:jc w:val="left"/>
            </w:pPr>
            <w:r/>
            <w:r>
              <w:rPr>
                <w:rFonts w:ascii="Times New Roman" w:hAnsi="Times New Roman"/>
                <w:b w:val="0"/>
                <w:sz w:val="18"/>
              </w:rPr>
              <w:t>Created time, weekend, airport, target, and categorical model fields.</w:t>
            </w:r>
          </w:p>
        </w:tc>
        <w:tc>
          <w:tcPr>
            <w:tcW w:type="dxa" w:w="1584"/>
            <w:vAlign w:val="center"/>
          </w:tcPr>
          <w:p>
            <w:pPr>
              <w:jc w:val="right"/>
            </w:pPr>
            <w:r/>
            <w:r>
              <w:rPr>
                <w:rFonts w:ascii="Times New Roman" w:hAnsi="Times New Roman"/>
                <w:b w:val="0"/>
                <w:sz w:val="18"/>
              </w:rPr>
              <w:t>0</w:t>
            </w:r>
          </w:p>
        </w:tc>
        <w:tc>
          <w:tcPr>
            <w:tcW w:type="dxa" w:w="1584"/>
            <w:vAlign w:val="center"/>
          </w:tcPr>
          <w:p>
            <w:pPr>
              <w:jc w:val="right"/>
            </w:pPr>
            <w:r/>
            <w:r>
              <w:rPr>
                <w:rFonts w:ascii="Times New Roman" w:hAnsi="Times New Roman"/>
                <w:b w:val="0"/>
                <w:sz w:val="18"/>
              </w:rPr>
              <w:t>2,684,599</w:t>
            </w:r>
          </w:p>
        </w:tc>
      </w:tr>
      <w:tr>
        <w:tc>
          <w:tcPr>
            <w:tcW w:type="dxa" w:w="6048"/>
            <w:vAlign w:val="center"/>
          </w:tcPr>
          <w:p>
            <w:pPr>
              <w:jc w:val="left"/>
            </w:pPr>
            <w:r/>
            <w:r>
              <w:rPr>
                <w:rFonts w:ascii="Times New Roman" w:hAnsi="Times New Roman"/>
                <w:b w:val="0"/>
                <w:sz w:val="18"/>
              </w:rPr>
              <w:t>Selected deterministic modeling sample with random_state=42.</w:t>
            </w:r>
          </w:p>
        </w:tc>
        <w:tc>
          <w:tcPr>
            <w:tcW w:type="dxa" w:w="1584"/>
            <w:vAlign w:val="center"/>
          </w:tcPr>
          <w:p>
            <w:pPr>
              <w:jc w:val="right"/>
            </w:pPr>
            <w:r/>
            <w:r>
              <w:rPr>
                <w:rFonts w:ascii="Times New Roman" w:hAnsi="Times New Roman"/>
                <w:b w:val="0"/>
                <w:sz w:val="18"/>
              </w:rPr>
              <w:t>2,564,599</w:t>
            </w:r>
          </w:p>
        </w:tc>
        <w:tc>
          <w:tcPr>
            <w:tcW w:type="dxa" w:w="1584"/>
            <w:vAlign w:val="center"/>
          </w:tcPr>
          <w:p>
            <w:pPr>
              <w:jc w:val="right"/>
            </w:pPr>
            <w:r/>
            <w:r>
              <w:rPr>
                <w:rFonts w:ascii="Times New Roman" w:hAnsi="Times New Roman"/>
                <w:b w:val="0"/>
                <w:sz w:val="18"/>
              </w:rPr>
              <w:t>120,000</w:t>
            </w:r>
          </w:p>
        </w:tc>
      </w:tr>
    </w:tbl>
    <w:p/>
    <w:p>
      <w:pPr>
        <w:spacing w:line="480" w:lineRule="auto" w:after="0" w:before="0"/>
        <w:ind w:firstLine="720"/>
        <w:jc w:val="left"/>
      </w:pPr>
      <w:r>
        <w:rPr>
          <w:rFonts w:ascii="Times New Roman" w:hAnsi="Times New Roman"/>
          <w:sz w:val="24"/>
        </w:rPr>
        <w:t>Feature engineering translated the raw trip records into inputs suitable for machine learning. The final numeric inputs were trip_distance, passenger_count, pickup_hour, pickup_dayofweek, is_weekend, and airport_trip. The categorical inputs were VendorID, RatecodeID, PULocationID, and DOLocationID. Location and rate-code identifiers were converted to strings so the model would treat them as categories rather than ordered quantities. The target was created only after deriving trip duration, and trip_duration_min was not used as a model input to avoid target leakage.</w:t>
      </w:r>
    </w:p>
    <w:p>
      <w:pPr>
        <w:spacing w:line="480" w:lineRule="auto" w:after="0"/>
      </w:pPr>
      <w:r>
        <w:rPr>
          <w:rFonts w:ascii="Times New Roman" w:hAnsi="Times New Roman"/>
          <w:b/>
          <w:sz w:val="24"/>
        </w:rPr>
        <w:t>Table 2</w:t>
      </w:r>
    </w:p>
    <w:p>
      <w:pPr>
        <w:spacing w:line="480" w:lineRule="auto" w:after="0"/>
      </w:pPr>
      <w:r>
        <w:rPr>
          <w:rFonts w:ascii="Times New Roman" w:hAnsi="Times New Roman"/>
          <w:i/>
          <w:sz w:val="24"/>
        </w:rPr>
        <w:t>Feature Engineering Summary</w:t>
      </w:r>
    </w:p>
    <w:tbl>
      <w:tblPr>
        <w:tblStyle w:val="TableGrid"/>
        <w:tblW w:type="auto" w:w="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20"/>
        <w:gridCol w:w="3120"/>
        <w:gridCol w:w="3120"/>
      </w:tblGrid>
      <w:tr>
        <w:tc>
          <w:tcPr>
            <w:tcW w:type="dxa" w:w="2160"/>
            <w:vAlign w:val="center"/>
            <w:shd w:fill="F2F2F2"/>
          </w:tcPr>
          <w:p>
            <w:pPr>
              <w:jc w:val="center"/>
            </w:pPr>
            <w:r/>
            <w:r>
              <w:rPr>
                <w:rFonts w:ascii="Times New Roman" w:hAnsi="Times New Roman"/>
                <w:b/>
                <w:sz w:val="20"/>
              </w:rPr>
              <w:t>Column</w:t>
            </w:r>
          </w:p>
        </w:tc>
        <w:tc>
          <w:tcPr>
            <w:tcW w:type="dxa" w:w="1872"/>
            <w:vAlign w:val="center"/>
            <w:shd w:fill="F2F2F2"/>
          </w:tcPr>
          <w:p>
            <w:pPr>
              <w:jc w:val="center"/>
            </w:pPr>
            <w:r/>
            <w:r>
              <w:rPr>
                <w:rFonts w:ascii="Times New Roman" w:hAnsi="Times New Roman"/>
                <w:b/>
                <w:sz w:val="20"/>
              </w:rPr>
              <w:t>Type</w:t>
            </w:r>
          </w:p>
        </w:tc>
        <w:tc>
          <w:tcPr>
            <w:tcW w:type="dxa" w:w="5184"/>
            <w:vAlign w:val="center"/>
            <w:shd w:fill="F2F2F2"/>
          </w:tcPr>
          <w:p>
            <w:pPr>
              <w:jc w:val="center"/>
            </w:pPr>
            <w:r/>
            <w:r>
              <w:rPr>
                <w:rFonts w:ascii="Times New Roman" w:hAnsi="Times New Roman"/>
                <w:b/>
                <w:sz w:val="20"/>
              </w:rPr>
              <w:t>Purpose</w:t>
            </w:r>
          </w:p>
        </w:tc>
      </w:tr>
      <w:tr>
        <w:tc>
          <w:tcPr>
            <w:tcW w:type="dxa" w:w="2160"/>
            <w:vAlign w:val="center"/>
          </w:tcPr>
          <w:p>
            <w:pPr>
              <w:jc w:val="left"/>
            </w:pPr>
            <w:r/>
            <w:r>
              <w:rPr>
                <w:rFonts w:ascii="Times New Roman" w:hAnsi="Times New Roman"/>
                <w:b w:val="0"/>
                <w:sz w:val="18"/>
              </w:rPr>
              <w:t>pickup_hour</w:t>
            </w:r>
          </w:p>
        </w:tc>
        <w:tc>
          <w:tcPr>
            <w:tcW w:type="dxa" w:w="1872"/>
            <w:vAlign w:val="center"/>
          </w:tcPr>
          <w:p>
            <w:pPr>
              <w:jc w:val="left"/>
            </w:pPr>
            <w:r/>
            <w:r>
              <w:rPr>
                <w:rFonts w:ascii="Times New Roman" w:hAnsi="Times New Roman"/>
                <w:b w:val="0"/>
                <w:sz w:val="18"/>
              </w:rPr>
              <w:t>derived numeric</w:t>
            </w:r>
          </w:p>
        </w:tc>
        <w:tc>
          <w:tcPr>
            <w:tcW w:type="dxa" w:w="5184"/>
            <w:vAlign w:val="center"/>
          </w:tcPr>
          <w:p>
            <w:pPr>
              <w:jc w:val="left"/>
            </w:pPr>
            <w:r/>
            <w:r>
              <w:rPr>
                <w:rFonts w:ascii="Times New Roman" w:hAnsi="Times New Roman"/>
                <w:b w:val="0"/>
                <w:sz w:val="18"/>
              </w:rPr>
              <w:t>Captures daily travel and congestion cycles.</w:t>
            </w:r>
          </w:p>
        </w:tc>
      </w:tr>
      <w:tr>
        <w:tc>
          <w:tcPr>
            <w:tcW w:type="dxa" w:w="2160"/>
            <w:vAlign w:val="center"/>
          </w:tcPr>
          <w:p>
            <w:pPr>
              <w:jc w:val="left"/>
            </w:pPr>
            <w:r/>
            <w:r>
              <w:rPr>
                <w:rFonts w:ascii="Times New Roman" w:hAnsi="Times New Roman"/>
                <w:b w:val="0"/>
                <w:sz w:val="18"/>
              </w:rPr>
              <w:t>pickup_dayofweek</w:t>
            </w:r>
          </w:p>
        </w:tc>
        <w:tc>
          <w:tcPr>
            <w:tcW w:type="dxa" w:w="1872"/>
            <w:vAlign w:val="center"/>
          </w:tcPr>
          <w:p>
            <w:pPr>
              <w:jc w:val="left"/>
            </w:pPr>
            <w:r/>
            <w:r>
              <w:rPr>
                <w:rFonts w:ascii="Times New Roman" w:hAnsi="Times New Roman"/>
                <w:b w:val="0"/>
                <w:sz w:val="18"/>
              </w:rPr>
              <w:t>derived numeric</w:t>
            </w:r>
          </w:p>
        </w:tc>
        <w:tc>
          <w:tcPr>
            <w:tcW w:type="dxa" w:w="5184"/>
            <w:vAlign w:val="center"/>
          </w:tcPr>
          <w:p>
            <w:pPr>
              <w:jc w:val="left"/>
            </w:pPr>
            <w:r/>
            <w:r>
              <w:rPr>
                <w:rFonts w:ascii="Times New Roman" w:hAnsi="Times New Roman"/>
                <w:b w:val="0"/>
                <w:sz w:val="18"/>
              </w:rPr>
              <w:t>Captures weekday/weekend and commute-pattern differences.</w:t>
            </w:r>
          </w:p>
        </w:tc>
      </w:tr>
      <w:tr>
        <w:tc>
          <w:tcPr>
            <w:tcW w:type="dxa" w:w="2160"/>
            <w:vAlign w:val="center"/>
          </w:tcPr>
          <w:p>
            <w:pPr>
              <w:jc w:val="left"/>
            </w:pPr>
            <w:r/>
            <w:r>
              <w:rPr>
                <w:rFonts w:ascii="Times New Roman" w:hAnsi="Times New Roman"/>
                <w:b w:val="0"/>
                <w:sz w:val="18"/>
              </w:rPr>
              <w:t>is_weekend</w:t>
            </w:r>
          </w:p>
        </w:tc>
        <w:tc>
          <w:tcPr>
            <w:tcW w:type="dxa" w:w="1872"/>
            <w:vAlign w:val="center"/>
          </w:tcPr>
          <w:p>
            <w:pPr>
              <w:jc w:val="left"/>
            </w:pPr>
            <w:r/>
            <w:r>
              <w:rPr>
                <w:rFonts w:ascii="Times New Roman" w:hAnsi="Times New Roman"/>
                <w:b w:val="0"/>
                <w:sz w:val="18"/>
              </w:rPr>
              <w:t>derived binary</w:t>
            </w:r>
          </w:p>
        </w:tc>
        <w:tc>
          <w:tcPr>
            <w:tcW w:type="dxa" w:w="5184"/>
            <w:vAlign w:val="center"/>
          </w:tcPr>
          <w:p>
            <w:pPr>
              <w:jc w:val="left"/>
            </w:pPr>
            <w:r/>
            <w:r>
              <w:rPr>
                <w:rFonts w:ascii="Times New Roman" w:hAnsi="Times New Roman"/>
                <w:b w:val="0"/>
                <w:sz w:val="18"/>
              </w:rPr>
              <w:t>Flags weekend operating patterns.</w:t>
            </w:r>
          </w:p>
        </w:tc>
      </w:tr>
      <w:tr>
        <w:tc>
          <w:tcPr>
            <w:tcW w:type="dxa" w:w="2160"/>
            <w:vAlign w:val="center"/>
          </w:tcPr>
          <w:p>
            <w:pPr>
              <w:jc w:val="left"/>
            </w:pPr>
            <w:r/>
            <w:r>
              <w:rPr>
                <w:rFonts w:ascii="Times New Roman" w:hAnsi="Times New Roman"/>
                <w:b w:val="0"/>
                <w:sz w:val="18"/>
              </w:rPr>
              <w:t>airport_trip</w:t>
            </w:r>
          </w:p>
        </w:tc>
        <w:tc>
          <w:tcPr>
            <w:tcW w:type="dxa" w:w="1872"/>
            <w:vAlign w:val="center"/>
          </w:tcPr>
          <w:p>
            <w:pPr>
              <w:jc w:val="left"/>
            </w:pPr>
            <w:r/>
            <w:r>
              <w:rPr>
                <w:rFonts w:ascii="Times New Roman" w:hAnsi="Times New Roman"/>
                <w:b w:val="0"/>
                <w:sz w:val="18"/>
              </w:rPr>
              <w:t>derived binary</w:t>
            </w:r>
          </w:p>
        </w:tc>
        <w:tc>
          <w:tcPr>
            <w:tcW w:type="dxa" w:w="5184"/>
            <w:vAlign w:val="center"/>
          </w:tcPr>
          <w:p>
            <w:pPr>
              <w:jc w:val="left"/>
            </w:pPr>
            <w:r/>
            <w:r>
              <w:rPr>
                <w:rFonts w:ascii="Times New Roman" w:hAnsi="Times New Roman"/>
                <w:b w:val="0"/>
                <w:sz w:val="18"/>
              </w:rPr>
              <w:t>Flags trips involving major airport zones.</w:t>
            </w:r>
          </w:p>
        </w:tc>
      </w:tr>
      <w:tr>
        <w:tc>
          <w:tcPr>
            <w:tcW w:type="dxa" w:w="2160"/>
            <w:vAlign w:val="center"/>
          </w:tcPr>
          <w:p>
            <w:pPr>
              <w:jc w:val="left"/>
            </w:pPr>
            <w:r/>
            <w:r>
              <w:rPr>
                <w:rFonts w:ascii="Times New Roman" w:hAnsi="Times New Roman"/>
                <w:b w:val="0"/>
                <w:sz w:val="18"/>
              </w:rPr>
              <w:t>long_trip</w:t>
            </w:r>
          </w:p>
        </w:tc>
        <w:tc>
          <w:tcPr>
            <w:tcW w:type="dxa" w:w="1872"/>
            <w:vAlign w:val="center"/>
          </w:tcPr>
          <w:p>
            <w:pPr>
              <w:jc w:val="left"/>
            </w:pPr>
            <w:r/>
            <w:r>
              <w:rPr>
                <w:rFonts w:ascii="Times New Roman" w:hAnsi="Times New Roman"/>
                <w:b w:val="0"/>
                <w:sz w:val="18"/>
              </w:rPr>
              <w:t>target binary</w:t>
            </w:r>
          </w:p>
        </w:tc>
        <w:tc>
          <w:tcPr>
            <w:tcW w:type="dxa" w:w="5184"/>
            <w:vAlign w:val="center"/>
          </w:tcPr>
          <w:p>
            <w:pPr>
              <w:jc w:val="left"/>
            </w:pPr>
            <w:r/>
            <w:r>
              <w:rPr>
                <w:rFonts w:ascii="Times New Roman" w:hAnsi="Times New Roman"/>
                <w:b w:val="0"/>
                <w:sz w:val="18"/>
              </w:rPr>
              <w:t>Prediction target: 1 for long trips, 0 otherwise.</w:t>
            </w:r>
          </w:p>
        </w:tc>
      </w:tr>
    </w:tbl>
    <w:p/>
    <w:p>
      <w:pPr>
        <w:spacing w:line="480" w:lineRule="auto"/>
      </w:pPr>
      <w:r>
        <w:rPr>
          <w:rFonts w:ascii="Times New Roman" w:hAnsi="Times New Roman"/>
          <w:b/>
          <w:sz w:val="24"/>
        </w:rPr>
        <w:t>Figure 1</w:t>
      </w:r>
    </w:p>
    <w:p>
      <w:pPr>
        <w:spacing w:line="480" w:lineRule="auto"/>
      </w:pPr>
      <w:r>
        <w:rPr>
          <w:rFonts w:ascii="Times New Roman" w:hAnsi="Times New Roman"/>
          <w:i/>
          <w:sz w:val="24"/>
        </w:rPr>
        <w:t>Cleaned Trip Duration Distribution</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duration_distribution.png"/>
                    <pic:cNvPicPr/>
                  </pic:nvPicPr>
                  <pic:blipFill>
                    <a:blip r:embed="rId10"/>
                    <a:stretch>
                      <a:fillRect/>
                    </a:stretch>
                  </pic:blipFill>
                  <pic:spPr>
                    <a:xfrm>
                      <a:off x="0" y="0"/>
                      <a:ext cx="5120640" cy="3200400"/>
                    </a:xfrm>
                    <a:prstGeom prst="rect"/>
                  </pic:spPr>
                </pic:pic>
              </a:graphicData>
            </a:graphic>
          </wp:inline>
        </w:drawing>
      </w:r>
    </w:p>
    <w:p>
      <w:pPr>
        <w:pStyle w:val="Heading1"/>
        <w:spacing w:line="480" w:lineRule="auto"/>
        <w:jc w:val="center"/>
      </w:pPr>
      <w:r>
        <w:rPr>
          <w:rFonts w:ascii="Times New Roman" w:hAnsi="Times New Roman"/>
          <w:b/>
          <w:sz w:val="24"/>
        </w:rPr>
        <w:t>Initial Model Development</w:t>
      </w:r>
    </w:p>
    <w:p>
      <w:pPr>
        <w:spacing w:line="480" w:lineRule="auto" w:after="0" w:before="0"/>
        <w:ind w:firstLine="720"/>
        <w:jc w:val="left"/>
      </w:pPr>
      <w:r>
        <w:rPr>
          <w:rFonts w:ascii="Times New Roman" w:hAnsi="Times New Roman"/>
          <w:sz w:val="24"/>
        </w:rPr>
        <w:t>The initial model was a class-balanced logistic regression classifier. Logistic regression was selected because it is fast, reproducible, and explainable enough for an early analytics deliverable. This was preferable for the first project stage because stakeholders can review the direction and relative strength of coefficients instead of receiving only black-box predictions. The pipeline used an 80/20 stratified train-test split, producing 96,000 training rows and 24,000 test rows while preserving the long-trip rate in both sets.</w:t>
      </w:r>
    </w:p>
    <w:p>
      <w:pPr>
        <w:spacing w:line="480" w:lineRule="auto" w:after="0" w:before="0"/>
        <w:ind w:firstLine="720"/>
        <w:jc w:val="left"/>
      </w:pPr>
      <w:r>
        <w:rPr>
          <w:rFonts w:ascii="Times New Roman" w:hAnsi="Times New Roman"/>
          <w:sz w:val="24"/>
        </w:rPr>
        <w:t>The scikit-learn pipeline used a ColumnTransformer to apply separate preprocessing to numeric and categorical columns. Numeric variables were median-imputed and standardized. Categorical variables were imputed with the most frequent value and one-hot encoded with handle_unknown = ignore, which allows the model to process future trips that contain categories not observed during training. A most-frequent dummy classifier served as the baseline because long trips are rare.</w:t>
      </w:r>
    </w:p>
    <w:p>
      <w:pPr>
        <w:spacing w:line="480" w:lineRule="auto" w:after="0"/>
      </w:pPr>
      <w:r>
        <w:rPr>
          <w:rFonts w:ascii="Times New Roman" w:hAnsi="Times New Roman"/>
          <w:b/>
          <w:sz w:val="24"/>
        </w:rPr>
        <w:t>Table 3</w:t>
      </w:r>
    </w:p>
    <w:p>
      <w:pPr>
        <w:spacing w:line="480" w:lineRule="auto" w:after="0"/>
      </w:pPr>
      <w:r>
        <w:rPr>
          <w:rFonts w:ascii="Times New Roman" w:hAnsi="Times New Roman"/>
          <w:i/>
          <w:sz w:val="24"/>
        </w:rPr>
        <w:t>Held-Out Test-Set Model Performance</w:t>
      </w:r>
    </w:p>
    <w:tbl>
      <w:tblPr>
        <w:tblStyle w:val="TableGrid"/>
        <w:tblW w:type="auto" w:w="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60"/>
        <w:gridCol w:w="1560"/>
        <w:gridCol w:w="1560"/>
        <w:gridCol w:w="1560"/>
        <w:gridCol w:w="1560"/>
        <w:gridCol w:w="1560"/>
      </w:tblGrid>
      <w:tr>
        <w:tc>
          <w:tcPr>
            <w:tcW w:type="dxa" w:w="3024"/>
            <w:vAlign w:val="center"/>
            <w:shd w:fill="F2F2F2"/>
          </w:tcPr>
          <w:p>
            <w:pPr>
              <w:jc w:val="center"/>
            </w:pPr>
            <w:r/>
            <w:r>
              <w:rPr>
                <w:rFonts w:ascii="Times New Roman" w:hAnsi="Times New Roman"/>
                <w:b/>
                <w:sz w:val="20"/>
              </w:rPr>
              <w:t>Model</w:t>
            </w:r>
          </w:p>
        </w:tc>
        <w:tc>
          <w:tcPr>
            <w:tcW w:type="dxa" w:w="1224"/>
            <w:vAlign w:val="center"/>
            <w:shd w:fill="F2F2F2"/>
          </w:tcPr>
          <w:p>
            <w:pPr>
              <w:jc w:val="center"/>
            </w:pPr>
            <w:r/>
            <w:r>
              <w:rPr>
                <w:rFonts w:ascii="Times New Roman" w:hAnsi="Times New Roman"/>
                <w:b/>
                <w:sz w:val="20"/>
              </w:rPr>
              <w:t>Accuracy</w:t>
            </w:r>
          </w:p>
        </w:tc>
        <w:tc>
          <w:tcPr>
            <w:tcW w:type="dxa" w:w="1224"/>
            <w:vAlign w:val="center"/>
            <w:shd w:fill="F2F2F2"/>
          </w:tcPr>
          <w:p>
            <w:pPr>
              <w:jc w:val="center"/>
            </w:pPr>
            <w:r/>
            <w:r>
              <w:rPr>
                <w:rFonts w:ascii="Times New Roman" w:hAnsi="Times New Roman"/>
                <w:b/>
                <w:sz w:val="20"/>
              </w:rPr>
              <w:t>Precision</w:t>
            </w:r>
          </w:p>
        </w:tc>
        <w:tc>
          <w:tcPr>
            <w:tcW w:type="dxa" w:w="1224"/>
            <w:vAlign w:val="center"/>
            <w:shd w:fill="F2F2F2"/>
          </w:tcPr>
          <w:p>
            <w:pPr>
              <w:jc w:val="center"/>
            </w:pPr>
            <w:r/>
            <w:r>
              <w:rPr>
                <w:rFonts w:ascii="Times New Roman" w:hAnsi="Times New Roman"/>
                <w:b/>
                <w:sz w:val="20"/>
              </w:rPr>
              <w:t>Recall</w:t>
            </w:r>
          </w:p>
        </w:tc>
        <w:tc>
          <w:tcPr>
            <w:tcW w:type="dxa" w:w="1080"/>
            <w:vAlign w:val="center"/>
            <w:shd w:fill="F2F2F2"/>
          </w:tcPr>
          <w:p>
            <w:pPr>
              <w:jc w:val="center"/>
            </w:pPr>
            <w:r/>
            <w:r>
              <w:rPr>
                <w:rFonts w:ascii="Times New Roman" w:hAnsi="Times New Roman"/>
                <w:b/>
                <w:sz w:val="20"/>
              </w:rPr>
              <w:t>F1</w:t>
            </w:r>
          </w:p>
        </w:tc>
        <w:tc>
          <w:tcPr>
            <w:tcW w:type="dxa" w:w="1224"/>
            <w:vAlign w:val="center"/>
            <w:shd w:fill="F2F2F2"/>
          </w:tcPr>
          <w:p>
            <w:pPr>
              <w:jc w:val="center"/>
            </w:pPr>
            <w:r/>
            <w:r>
              <w:rPr>
                <w:rFonts w:ascii="Times New Roman" w:hAnsi="Times New Roman"/>
                <w:b/>
                <w:sz w:val="20"/>
              </w:rPr>
              <w:t>ROC-AUC</w:t>
            </w:r>
          </w:p>
        </w:tc>
      </w:tr>
      <w:tr>
        <w:tc>
          <w:tcPr>
            <w:tcW w:type="dxa" w:w="3024"/>
            <w:vAlign w:val="center"/>
          </w:tcPr>
          <w:p>
            <w:pPr>
              <w:jc w:val="left"/>
            </w:pPr>
            <w:r/>
            <w:r>
              <w:rPr>
                <w:rFonts w:ascii="Times New Roman" w:hAnsi="Times New Roman"/>
                <w:b w:val="0"/>
                <w:sz w:val="18"/>
              </w:rPr>
              <w:t>Most frequent baseline</w:t>
            </w:r>
          </w:p>
        </w:tc>
        <w:tc>
          <w:tcPr>
            <w:tcW w:type="dxa" w:w="1224"/>
            <w:vAlign w:val="center"/>
          </w:tcPr>
          <w:p>
            <w:pPr>
              <w:jc w:val="right"/>
            </w:pPr>
            <w:r/>
            <w:r>
              <w:rPr>
                <w:rFonts w:ascii="Times New Roman" w:hAnsi="Times New Roman"/>
                <w:b w:val="0"/>
                <w:sz w:val="18"/>
              </w:rPr>
              <w:t>0.9122</w:t>
            </w:r>
          </w:p>
        </w:tc>
        <w:tc>
          <w:tcPr>
            <w:tcW w:type="dxa" w:w="1224"/>
            <w:vAlign w:val="center"/>
          </w:tcPr>
          <w:p>
            <w:pPr>
              <w:jc w:val="right"/>
            </w:pPr>
            <w:r/>
            <w:r>
              <w:rPr>
                <w:rFonts w:ascii="Times New Roman" w:hAnsi="Times New Roman"/>
                <w:b w:val="0"/>
                <w:sz w:val="18"/>
              </w:rPr>
              <w:t>0.0000</w:t>
            </w:r>
          </w:p>
        </w:tc>
        <w:tc>
          <w:tcPr>
            <w:tcW w:type="dxa" w:w="1224"/>
            <w:vAlign w:val="center"/>
          </w:tcPr>
          <w:p>
            <w:pPr>
              <w:jc w:val="right"/>
            </w:pPr>
            <w:r/>
            <w:r>
              <w:rPr>
                <w:rFonts w:ascii="Times New Roman" w:hAnsi="Times New Roman"/>
                <w:b w:val="0"/>
                <w:sz w:val="18"/>
              </w:rPr>
              <w:t>0.0000</w:t>
            </w:r>
          </w:p>
        </w:tc>
        <w:tc>
          <w:tcPr>
            <w:tcW w:type="dxa" w:w="1080"/>
            <w:vAlign w:val="center"/>
          </w:tcPr>
          <w:p>
            <w:pPr>
              <w:jc w:val="right"/>
            </w:pPr>
            <w:r/>
            <w:r>
              <w:rPr>
                <w:rFonts w:ascii="Times New Roman" w:hAnsi="Times New Roman"/>
                <w:b w:val="0"/>
                <w:sz w:val="18"/>
              </w:rPr>
              <w:t>0.0000</w:t>
            </w:r>
          </w:p>
        </w:tc>
        <w:tc>
          <w:tcPr>
            <w:tcW w:type="dxa" w:w="1224"/>
            <w:vAlign w:val="center"/>
          </w:tcPr>
          <w:p>
            <w:pPr>
              <w:jc w:val="right"/>
            </w:pPr>
            <w:r/>
            <w:r>
              <w:rPr>
                <w:rFonts w:ascii="Times New Roman" w:hAnsi="Times New Roman"/>
                <w:b w:val="0"/>
                <w:sz w:val="18"/>
              </w:rPr>
              <w:t>0.5000</w:t>
            </w:r>
          </w:p>
        </w:tc>
      </w:tr>
      <w:tr>
        <w:tc>
          <w:tcPr>
            <w:tcW w:type="dxa" w:w="3024"/>
            <w:vAlign w:val="center"/>
          </w:tcPr>
          <w:p>
            <w:pPr>
              <w:jc w:val="left"/>
            </w:pPr>
            <w:r/>
            <w:r>
              <w:rPr>
                <w:rFonts w:ascii="Times New Roman" w:hAnsi="Times New Roman"/>
                <w:b w:val="0"/>
                <w:sz w:val="18"/>
              </w:rPr>
              <w:t>Balanced logistic regression</w:t>
            </w:r>
          </w:p>
        </w:tc>
        <w:tc>
          <w:tcPr>
            <w:tcW w:type="dxa" w:w="1224"/>
            <w:vAlign w:val="center"/>
          </w:tcPr>
          <w:p>
            <w:pPr>
              <w:jc w:val="right"/>
            </w:pPr>
            <w:r/>
            <w:r>
              <w:rPr>
                <w:rFonts w:ascii="Times New Roman" w:hAnsi="Times New Roman"/>
                <w:b w:val="0"/>
                <w:sz w:val="18"/>
              </w:rPr>
              <w:t>0.9170</w:t>
            </w:r>
          </w:p>
        </w:tc>
        <w:tc>
          <w:tcPr>
            <w:tcW w:type="dxa" w:w="1224"/>
            <w:vAlign w:val="center"/>
          </w:tcPr>
          <w:p>
            <w:pPr>
              <w:jc w:val="right"/>
            </w:pPr>
            <w:r/>
            <w:r>
              <w:rPr>
                <w:rFonts w:ascii="Times New Roman" w:hAnsi="Times New Roman"/>
                <w:b w:val="0"/>
                <w:sz w:val="18"/>
              </w:rPr>
              <w:t>0.5162</w:t>
            </w:r>
          </w:p>
        </w:tc>
        <w:tc>
          <w:tcPr>
            <w:tcW w:type="dxa" w:w="1224"/>
            <w:vAlign w:val="center"/>
          </w:tcPr>
          <w:p>
            <w:pPr>
              <w:jc w:val="right"/>
            </w:pPr>
            <w:r/>
            <w:r>
              <w:rPr>
                <w:rFonts w:ascii="Times New Roman" w:hAnsi="Times New Roman"/>
                <w:b w:val="0"/>
                <w:sz w:val="18"/>
              </w:rPr>
              <w:t>0.8624</w:t>
            </w:r>
          </w:p>
        </w:tc>
        <w:tc>
          <w:tcPr>
            <w:tcW w:type="dxa" w:w="1080"/>
            <w:vAlign w:val="center"/>
          </w:tcPr>
          <w:p>
            <w:pPr>
              <w:jc w:val="right"/>
            </w:pPr>
            <w:r/>
            <w:r>
              <w:rPr>
                <w:rFonts w:ascii="Times New Roman" w:hAnsi="Times New Roman"/>
                <w:b w:val="0"/>
                <w:sz w:val="18"/>
              </w:rPr>
              <w:t>0.6458</w:t>
            </w:r>
          </w:p>
        </w:tc>
        <w:tc>
          <w:tcPr>
            <w:tcW w:type="dxa" w:w="1224"/>
            <w:vAlign w:val="center"/>
          </w:tcPr>
          <w:p>
            <w:pPr>
              <w:jc w:val="right"/>
            </w:pPr>
            <w:r/>
            <w:r>
              <w:rPr>
                <w:rFonts w:ascii="Times New Roman" w:hAnsi="Times New Roman"/>
                <w:b w:val="0"/>
                <w:sz w:val="18"/>
              </w:rPr>
              <w:t>0.9627</w:t>
            </w:r>
          </w:p>
        </w:tc>
      </w:tr>
    </w:tbl>
    <w:p/>
    <w:p>
      <w:pPr>
        <w:spacing w:line="480" w:lineRule="auto" w:after="0" w:before="0"/>
        <w:ind w:firstLine="720"/>
        <w:jc w:val="left"/>
      </w:pPr>
      <w:r>
        <w:rPr>
          <w:rFonts w:ascii="Times New Roman" w:hAnsi="Times New Roman"/>
          <w:sz w:val="24"/>
        </w:rPr>
        <w:t>The baseline reached 91.22% accuracy because most trips were under 30 minutes, but its recall and F1 score for long trips were both 0. The logistic regression model improved the practical objective by reaching 86.24% recall and a ROC-AUC of 0.9627. This means the model identified most long trips in the test set, even though precision was 51.62%. For an early warning tool, higher recall is valuable because missing long trips would weaken planning decisions. However, the precision result also shows the model should not be used for high-stakes automated decisions.</w:t>
      </w:r>
    </w:p>
    <w:p>
      <w:pPr>
        <w:spacing w:line="480" w:lineRule="auto" w:after="0" w:before="0"/>
        <w:ind w:firstLine="720"/>
        <w:jc w:val="left"/>
      </w:pPr>
      <w:r>
        <w:rPr>
          <w:rFonts w:ascii="Times New Roman" w:hAnsi="Times New Roman"/>
          <w:sz w:val="24"/>
        </w:rPr>
        <w:t>The coefficient output showed that trip distance had the strongest positive relationship with long-trip risk. Pickup and dropoff zones were also informative, which is useful operationally but ethically sensitive because location can act as a proxy for neighborhood, income, airport access, or commuting patterns. The model should therefore support aggregate planning and human review rather than individual ride denial, driver penalties, or neighborhood-level service restrictions.</w:t>
      </w:r>
    </w:p>
    <w:p>
      <w:pPr>
        <w:spacing w:line="480" w:lineRule="auto"/>
      </w:pPr>
      <w:r>
        <w:rPr>
          <w:rFonts w:ascii="Times New Roman" w:hAnsi="Times New Roman"/>
          <w:b/>
          <w:sz w:val="24"/>
        </w:rPr>
        <w:t>Figure 2</w:t>
      </w:r>
    </w:p>
    <w:p>
      <w:pPr>
        <w:spacing w:line="480" w:lineRule="auto"/>
      </w:pPr>
      <w:r>
        <w:rPr>
          <w:rFonts w:ascii="Times New Roman" w:hAnsi="Times New Roman"/>
          <w:i/>
          <w:sz w:val="24"/>
        </w:rPr>
        <w:t>Confusion Matrix for the Balanced Logistic Regression Model</w:t>
      </w:r>
    </w:p>
    <w:p>
      <w:pPr>
        <w:jc w:val="center"/>
      </w:pPr>
      <w:r>
        <w:drawing>
          <wp:inline xmlns:a="http://schemas.openxmlformats.org/drawingml/2006/main" xmlns:pic="http://schemas.openxmlformats.org/drawingml/2006/picture">
            <wp:extent cx="4389120" cy="329184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389120" cy="3291840"/>
                    </a:xfrm>
                    <a:prstGeom prst="rect"/>
                  </pic:spPr>
                </pic:pic>
              </a:graphicData>
            </a:graphic>
          </wp:inline>
        </w:drawing>
      </w:r>
    </w:p>
    <w:p>
      <w:pPr>
        <w:pStyle w:val="Heading1"/>
        <w:spacing w:line="480" w:lineRule="auto"/>
        <w:jc w:val="center"/>
      </w:pPr>
      <w:r>
        <w:rPr>
          <w:rFonts w:ascii="Times New Roman" w:hAnsi="Times New Roman"/>
          <w:b/>
          <w:sz w:val="24"/>
        </w:rPr>
        <w:t>Team Collaboration Process</w:t>
      </w:r>
    </w:p>
    <w:p>
      <w:pPr>
        <w:spacing w:line="480" w:lineRule="auto" w:after="0" w:before="0"/>
        <w:ind w:firstLine="720"/>
        <w:jc w:val="left"/>
      </w:pPr>
      <w:r>
        <w:rPr>
          <w:rFonts w:ascii="Times New Roman" w:hAnsi="Times New Roman"/>
          <w:sz w:val="24"/>
        </w:rPr>
        <w:t>The project was organized as a small analytics team workflow. The major roles were stakeholder framing, data engineering and preprocessing, model development, and report quality assurance. GitHub was used for version control, with the completed work merged into the public repository on the main branch. Google Colab was configured as a collaboration environment so teammates could clone the repository, install requirements, run the pipeline, and inspect outputs directly in the notebook.</w:t>
      </w:r>
    </w:p>
    <w:p>
      <w:pPr>
        <w:spacing w:line="480" w:lineRule="auto" w:after="0"/>
      </w:pPr>
      <w:r>
        <w:rPr>
          <w:rFonts w:ascii="Times New Roman" w:hAnsi="Times New Roman"/>
          <w:b/>
          <w:sz w:val="24"/>
        </w:rPr>
        <w:t>Table 4</w:t>
      </w:r>
    </w:p>
    <w:p>
      <w:pPr>
        <w:spacing w:line="480" w:lineRule="auto" w:after="0"/>
      </w:pPr>
      <w:r>
        <w:rPr>
          <w:rFonts w:ascii="Times New Roman" w:hAnsi="Times New Roman"/>
          <w:i/>
          <w:sz w:val="24"/>
        </w:rPr>
        <w:t>Team Member Contributions</w:t>
      </w:r>
    </w:p>
    <w:tbl>
      <w:tblPr>
        <w:tblStyle w:val="TableGrid"/>
        <w:tblW w:type="auto" w:w="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20"/>
        <w:gridCol w:w="3120"/>
        <w:gridCol w:w="3120"/>
      </w:tblGrid>
      <w:tr>
        <w:tc>
          <w:tcPr>
            <w:tcW w:type="dxa" w:w="2448"/>
            <w:vAlign w:val="center"/>
            <w:shd w:fill="F2F2F2"/>
          </w:tcPr>
          <w:p>
            <w:pPr>
              <w:jc w:val="center"/>
            </w:pPr>
            <w:r/>
            <w:r>
              <w:rPr>
                <w:rFonts w:ascii="Times New Roman" w:hAnsi="Times New Roman"/>
                <w:b/>
                <w:sz w:val="20"/>
              </w:rPr>
              <w:t>Team member</w:t>
            </w:r>
          </w:p>
        </w:tc>
        <w:tc>
          <w:tcPr>
            <w:tcW w:type="dxa" w:w="2592"/>
            <w:vAlign w:val="center"/>
            <w:shd w:fill="F2F2F2"/>
          </w:tcPr>
          <w:p>
            <w:pPr>
              <w:jc w:val="center"/>
            </w:pPr>
            <w:r/>
            <w:r>
              <w:rPr>
                <w:rFonts w:ascii="Times New Roman" w:hAnsi="Times New Roman"/>
                <w:b/>
                <w:sz w:val="20"/>
              </w:rPr>
              <w:t>Primary contribution</w:t>
            </w:r>
          </w:p>
        </w:tc>
        <w:tc>
          <w:tcPr>
            <w:tcW w:type="dxa" w:w="4176"/>
            <w:vAlign w:val="center"/>
            <w:shd w:fill="F2F2F2"/>
          </w:tcPr>
          <w:p>
            <w:pPr>
              <w:jc w:val="center"/>
            </w:pPr>
            <w:r/>
            <w:r>
              <w:rPr>
                <w:rFonts w:ascii="Times New Roman" w:hAnsi="Times New Roman"/>
                <w:b/>
                <w:sz w:val="20"/>
              </w:rPr>
              <w:t>Specific project work</w:t>
            </w:r>
          </w:p>
        </w:tc>
      </w:tr>
      <w:tr>
        <w:tc>
          <w:tcPr>
            <w:tcW w:type="dxa" w:w="2448"/>
            <w:vAlign w:val="center"/>
          </w:tcPr>
          <w:p>
            <w:pPr>
              <w:jc w:val="left"/>
            </w:pPr>
            <w:r/>
            <w:r>
              <w:rPr>
                <w:rFonts w:ascii="Times New Roman" w:hAnsi="Times New Roman"/>
                <w:b w:val="0"/>
                <w:sz w:val="18"/>
              </w:rPr>
              <w:t>Soumith Kumar Ananthula</w:t>
            </w:r>
          </w:p>
        </w:tc>
        <w:tc>
          <w:tcPr>
            <w:tcW w:type="dxa" w:w="2592"/>
            <w:vAlign w:val="center"/>
          </w:tcPr>
          <w:p>
            <w:pPr>
              <w:jc w:val="left"/>
            </w:pPr>
            <w:r/>
            <w:r>
              <w:rPr>
                <w:rFonts w:ascii="Times New Roman" w:hAnsi="Times New Roman"/>
                <w:b w:val="0"/>
                <w:sz w:val="18"/>
              </w:rPr>
              <w:t>Project coordination and stakeholder framing</w:t>
            </w:r>
          </w:p>
        </w:tc>
        <w:tc>
          <w:tcPr>
            <w:tcW w:type="dxa" w:w="4176"/>
            <w:vAlign w:val="center"/>
          </w:tcPr>
          <w:p>
            <w:pPr>
              <w:jc w:val="left"/>
            </w:pPr>
            <w:r/>
            <w:r>
              <w:rPr>
                <w:rFonts w:ascii="Times New Roman" w:hAnsi="Times New Roman"/>
                <w:b w:val="0"/>
                <w:sz w:val="18"/>
              </w:rPr>
              <w:t>Defined the transportation problem, reviewed deliverables, coordinated GitHub/Colab workflow, and connected model outputs to the assignment requirements.</w:t>
            </w:r>
          </w:p>
        </w:tc>
      </w:tr>
      <w:tr>
        <w:tc>
          <w:tcPr>
            <w:tcW w:type="dxa" w:w="2448"/>
            <w:vAlign w:val="center"/>
          </w:tcPr>
          <w:p>
            <w:pPr>
              <w:jc w:val="left"/>
            </w:pPr>
            <w:r/>
            <w:r>
              <w:rPr>
                <w:rFonts w:ascii="Times New Roman" w:hAnsi="Times New Roman"/>
                <w:b w:val="0"/>
                <w:sz w:val="18"/>
              </w:rPr>
              <w:t>Varun Reddy Beesam</w:t>
            </w:r>
          </w:p>
        </w:tc>
        <w:tc>
          <w:tcPr>
            <w:tcW w:type="dxa" w:w="2592"/>
            <w:vAlign w:val="center"/>
          </w:tcPr>
          <w:p>
            <w:pPr>
              <w:jc w:val="left"/>
            </w:pPr>
            <w:r/>
            <w:r>
              <w:rPr>
                <w:rFonts w:ascii="Times New Roman" w:hAnsi="Times New Roman"/>
                <w:b w:val="0"/>
                <w:sz w:val="18"/>
              </w:rPr>
              <w:t>Dataset exploration and preprocessing</w:t>
            </w:r>
          </w:p>
        </w:tc>
        <w:tc>
          <w:tcPr>
            <w:tcW w:type="dxa" w:w="4176"/>
            <w:vAlign w:val="center"/>
          </w:tcPr>
          <w:p>
            <w:pPr>
              <w:jc w:val="left"/>
            </w:pPr>
            <w:r/>
            <w:r>
              <w:rPr>
                <w:rFonts w:ascii="Times New Roman" w:hAnsi="Times New Roman"/>
                <w:b w:val="0"/>
                <w:sz w:val="18"/>
              </w:rPr>
              <w:t>Reviewed TLC fields, documented cleaning rules, checked row-count changes, and helped verify preprocessing audit outputs.</w:t>
            </w:r>
          </w:p>
        </w:tc>
      </w:tr>
      <w:tr>
        <w:tc>
          <w:tcPr>
            <w:tcW w:type="dxa" w:w="2448"/>
            <w:vAlign w:val="center"/>
          </w:tcPr>
          <w:p>
            <w:pPr>
              <w:jc w:val="left"/>
            </w:pPr>
            <w:r/>
            <w:r>
              <w:rPr>
                <w:rFonts w:ascii="Times New Roman" w:hAnsi="Times New Roman"/>
                <w:b w:val="0"/>
                <w:sz w:val="18"/>
              </w:rPr>
              <w:t>Vivek Doppalapudi</w:t>
            </w:r>
          </w:p>
        </w:tc>
        <w:tc>
          <w:tcPr>
            <w:tcW w:type="dxa" w:w="2592"/>
            <w:vAlign w:val="center"/>
          </w:tcPr>
          <w:p>
            <w:pPr>
              <w:jc w:val="left"/>
            </w:pPr>
            <w:r/>
            <w:r>
              <w:rPr>
                <w:rFonts w:ascii="Times New Roman" w:hAnsi="Times New Roman"/>
                <w:b w:val="0"/>
                <w:sz w:val="18"/>
              </w:rPr>
              <w:t>Model development and evaluation</w:t>
            </w:r>
          </w:p>
        </w:tc>
        <w:tc>
          <w:tcPr>
            <w:tcW w:type="dxa" w:w="4176"/>
            <w:vAlign w:val="center"/>
          </w:tcPr>
          <w:p>
            <w:pPr>
              <w:jc w:val="left"/>
            </w:pPr>
            <w:r/>
            <w:r>
              <w:rPr>
                <w:rFonts w:ascii="Times New Roman" w:hAnsi="Times New Roman"/>
                <w:b w:val="0"/>
                <w:sz w:val="18"/>
              </w:rPr>
              <w:t>Supported model selection, train-test evaluation, metric interpretation, coefficient review, and ethical limitations for model use.</w:t>
            </w:r>
          </w:p>
        </w:tc>
      </w:tr>
    </w:tbl>
    <w:p/>
    <w:p>
      <w:pPr>
        <w:spacing w:line="480" w:lineRule="auto" w:after="0" w:before="0"/>
        <w:ind w:firstLine="720"/>
        <w:jc w:val="left"/>
      </w:pPr>
      <w:r>
        <w:rPr>
          <w:rFonts w:ascii="Times New Roman" w:hAnsi="Times New Roman"/>
          <w:sz w:val="24"/>
        </w:rPr>
        <w:t>The work followed an iterative analytics lifecycle. First, the team selected NYC taxi data because it matched the transportation dataset option and provided enough size and complexity for meaningful preprocessing. Second, the pipeline was built to download the official parquet file rather than relying on manually uploaded data. Third, model outputs and coefficients were reviewed, which led to a stronger preprocessing rule that retained only standard TLC rate codes. Fourth, the notebook was improved to show preprocessing steps, feature changes, target distribution, metrics, and charts inline so a reviewer can understand how the data changed before modeling.</w:t>
      </w:r>
    </w:p>
    <w:p>
      <w:pPr>
        <w:spacing w:line="480" w:lineRule="auto" w:after="0" w:before="0"/>
        <w:ind w:firstLine="720"/>
        <w:jc w:val="left"/>
      </w:pPr>
      <w:r>
        <w:rPr>
          <w:rFonts w:ascii="Times New Roman" w:hAnsi="Times New Roman"/>
          <w:sz w:val="24"/>
        </w:rPr>
        <w:t>The team also reflected on ethical use. The model does not use names or exact addresses, but zone-level transportation data can still reveal social and geographic patterns. For that reason, the recommended use is aggregate operational planning, not service exclusion or price manipulation. Future iterations should validate the model across multiple months, add weather and event context, compare additional algorithms, calibrate probabilities, and audit error rates by pickup and dropoff zone.</w:t>
      </w:r>
    </w:p>
    <w:p>
      <w:r>
        <w:br w:type="page"/>
      </w:r>
    </w:p>
    <w:p>
      <w:pPr>
        <w:pStyle w:val="Heading1"/>
        <w:spacing w:line="480" w:lineRule="auto"/>
        <w:jc w:val="center"/>
      </w:pPr>
      <w:r>
        <w:rPr>
          <w:rFonts w:ascii="Times New Roman" w:hAnsi="Times New Roman"/>
          <w:b/>
          <w:sz w:val="24"/>
        </w:rPr>
        <w:t>References</w:t>
      </w:r>
    </w:p>
    <w:p>
      <w:pPr>
        <w:spacing w:line="480" w:lineRule="auto"/>
        <w:ind w:left="720" w:hanging="720"/>
      </w:pPr>
      <w:r>
        <w:rPr>
          <w:rFonts w:ascii="Times New Roman" w:hAnsi="Times New Roman"/>
          <w:sz w:val="24"/>
        </w:rPr>
        <w:t>Hunter, J. D. (2007). Matplotlib: A 2D graphics environment. Computing in Science &amp; Engineering, 9(3), 90-95. https://doi.org/10.1109/MCSE.2007.55</w:t>
      </w:r>
    </w:p>
    <w:p>
      <w:pPr>
        <w:spacing w:line="480" w:lineRule="auto"/>
        <w:ind w:left="720" w:hanging="720"/>
      </w:pPr>
      <w:r>
        <w:rPr>
          <w:rFonts w:ascii="Times New Roman" w:hAnsi="Times New Roman"/>
          <w:sz w:val="24"/>
        </w:rPr>
        <w:t>McKinney, W. (2010). Data structures for statistical computing in Python. In S. van der Walt &amp; J. Millman (Eds.), Proceedings of the 9th Python in Science Conference (pp. 56-61). https://doi.org/10.25080/Majora-92bf1922-00a</w:t>
      </w:r>
    </w:p>
    <w:p>
      <w:pPr>
        <w:spacing w:line="480" w:lineRule="auto"/>
        <w:ind w:left="720" w:hanging="720"/>
      </w:pPr>
      <w:r>
        <w:rPr>
          <w:rFonts w:ascii="Times New Roman" w:hAnsi="Times New Roman"/>
          <w:sz w:val="24"/>
        </w:rPr>
        <w:t>New York City Taxi and Limousine Commission. (2024a). TLC trip record data. City of New York. https://www.nyc.gov/site/tlc/about/tlc-trip-record-data.page</w:t>
      </w:r>
    </w:p>
    <w:p>
      <w:pPr>
        <w:spacing w:line="480" w:lineRule="auto"/>
        <w:ind w:left="720" w:hanging="720"/>
      </w:pPr>
      <w:r>
        <w:rPr>
          <w:rFonts w:ascii="Times New Roman" w:hAnsi="Times New Roman"/>
          <w:sz w:val="24"/>
        </w:rPr>
        <w:t>New York City Taxi and Limousine Commission. (2024b). Yellow taxi trip records data dictionary. City of New York. https://www.nyc.gov/assets/tlc/downloads/pdf/data_dictionary_trip_records_yellow.pdf</w:t>
      </w:r>
    </w:p>
    <w:p>
      <w:pPr>
        <w:spacing w:line="480" w:lineRule="auto"/>
        <w:ind w:left="720" w:hanging="720"/>
      </w:pPr>
      <w:r>
        <w:rPr>
          <w:rFonts w:ascii="Times New Roman" w:hAnsi="Times New Roman"/>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pPr>
        <w:spacing w:line="480" w:lineRule="auto"/>
        <w:ind w:left="720" w:hanging="720"/>
      </w:pPr>
      <w:r>
        <w:rPr>
          <w:rFonts w:ascii="Times New Roman" w:hAnsi="Times New Roman"/>
          <w:sz w:val="24"/>
        </w:rPr>
        <w:t>Waskom, M. L. (2021). Seaborn: Statistical data visualization. Journal of Open Source Software, 6(60), Article 3021. https://doi.org/10.21105/joss.03021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