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ARCHITECTURE DECISION RECORD</w:t>
      </w:r>
    </w:p>
    <w:p>
      <w:pPr>
        <w:pStyle w:val="Title"/>
        <w:jc w:val="center"/>
      </w:pPr>
      <w:r>
        <w:t xml:space="preserve">Approval of Member Notification Service on Enterprise Managed Container Platform</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r>
              <w:rPr>
                <w:b/>
              </w:rPr>
              <w:t>Submission</w:t>
            </w:r>
          </w:p>
        </w:tc>
        <w:tc>
          <w:tcPr>
            <w:tcW w:type="dxa" w:w="4968"/>
            <w:vAlign w:val="center"/>
          </w:tcPr>
          <w:p>
            <w:r>
              <w:t xml:space="preserve">SUB-003</w:t>
            </w:r>
          </w:p>
        </w:tc>
      </w:tr>
      <w:tr>
        <w:tc>
          <w:tcPr>
            <w:tcW w:type="dxa" w:w="4968"/>
            <w:vAlign w:val="center"/>
          </w:tcPr>
          <w:p>
            <w:r>
              <w:rPr>
                <w:b/>
              </w:rPr>
              <w:t>Technology</w:t>
            </w:r>
          </w:p>
        </w:tc>
        <w:tc>
          <w:tcPr>
            <w:tcW w:type="dxa" w:w="4968"/>
            <w:vAlign w:val="center"/>
          </w:tcPr>
          <w:p>
            <w:r>
              <w:t xml:space="preserve">Member Notification Service</w:t>
            </w:r>
          </w:p>
        </w:tc>
      </w:tr>
      <w:tr>
        <w:tc>
          <w:tcPr>
            <w:tcW w:type="dxa" w:w="4968"/>
            <w:vAlign w:val="center"/>
          </w:tcPr>
          <w:p>
            <w:r>
              <w:rPr>
                <w:b/>
              </w:rPr>
              <w:t>ADR status</w:t>
            </w:r>
          </w:p>
        </w:tc>
        <w:tc>
          <w:tcPr>
            <w:tcW w:type="dxa" w:w="4968"/>
            <w:vAlign w:val="center"/>
          </w:tcPr>
          <w:p>
            <w:r>
              <w:t xml:space="preserve">Proposed</w:t>
            </w:r>
          </w:p>
        </w:tc>
      </w:tr>
      <w:tr>
        <w:tc>
          <w:tcPr>
            <w:tcW w:type="dxa" w:w="4968"/>
            <w:vAlign w:val="center"/>
          </w:tcPr>
          <w:p>
            <w:r>
              <w:rPr>
                <w:b/>
              </w:rPr>
              <w:t>Decision</w:t>
            </w:r>
          </w:p>
        </w:tc>
        <w:tc>
          <w:tcPr>
            <w:tcW w:type="dxa" w:w="4968"/>
            <w:vAlign w:val="center"/>
          </w:tcPr>
          <w:p>
            <w:r>
              <w:t xml:space="preserve">Approved</w:t>
            </w:r>
          </w:p>
        </w:tc>
      </w:tr>
    </w:tbl>
    <w:p>
      <w:pPr>
        <w:pStyle w:val="Heading1"/>
      </w:pPr>
      <w:r>
        <w:t>Context</w:t>
      </w:r>
    </w:p>
    <w:p>
      <w:r>
        <w:t xml:space="preserve">The submission describes an internally built, containerized member notification service deployed on the enterprise managed container platform. It uses managed event streaming, the enterprise API gateway, the enterprise identity provider, workload identity federation, role-based access, structured logging, TLS 1.3, and data residency in the continental United States.</w:t>
      </w:r>
    </w:p>
    <w:p>
      <w:pPr>
        <w:pStyle w:val="Heading1"/>
      </w:pPr>
      <w:r>
        <w:t>Standards assessment</w:t>
      </w:r>
    </w:p>
    <w:p>
      <w:r>
        <w:t xml:space="preserve">All reported findings conform to the applicable standards. The workload uses an approved hosting model and remains within the continental United States with contractual regional pinning. Vendor-hosted SaaS approval conditions do not apply because this is an internally built, containerized workload, not a vendor-hosted software-as-a-service product. Identity, authorization, privileged access, access review, integration patterns, API publication, encryption, data contracts, resilience, and logging all meet the cited requirements.</w:t>
      </w:r>
    </w:p>
    <w:p>
      <w:pPr>
        <w:pStyle w:val="Heading1"/>
      </w:pPr>
      <w:r>
        <w:t>Decision</w:t>
      </w:r>
    </w:p>
    <w:p>
      <w:r>
        <w:t xml:space="preserve">Approve the Member Notification Service as submitted.</w:t>
      </w:r>
    </w:p>
    <w:p>
      <w:pPr>
        <w:pStyle w:val="Heading1"/>
      </w:pPr>
      <w:r>
        <w:t>Decision drivers</w:t>
      </w:r>
    </w:p>
    <w:p>
      <w:pPr>
        <w:pStyle w:val="ListBullet"/>
      </w:pPr>
      <w:r>
        <w:t xml:space="preserve">Approved hosting model selected for the new workload.</w:t>
      </w:r>
    </w:p>
    <w:p>
      <w:pPr>
        <w:pStyle w:val="ListBullet"/>
      </w:pPr>
      <w:r>
        <w:t xml:space="preserve">Data residency and contractual regional pinning are satisfied.</w:t>
      </w:r>
    </w:p>
    <w:p>
      <w:pPr>
        <w:pStyle w:val="ListBullet"/>
      </w:pPr>
      <w:r>
        <w:t xml:space="preserve">Vendor-hosted SaaS conditions do not apply to this internally built, containerized workload.</w:t>
      </w:r>
    </w:p>
    <w:p>
      <w:pPr>
        <w:pStyle w:val="ListBullet"/>
      </w:pPr>
      <w:r>
        <w:t xml:space="preserve">Enterprise identity provider federation and role-based access are in place.</w:t>
      </w:r>
    </w:p>
    <w:p>
      <w:pPr>
        <w:pStyle w:val="ListBullet"/>
      </w:pPr>
      <w:r>
        <w:t xml:space="preserve">Approved integration patterns, API gateway publication, and versioning are used.</w:t>
      </w:r>
    </w:p>
    <w:p>
      <w:pPr>
        <w:pStyle w:val="ListBullet"/>
      </w:pPr>
      <w:r>
        <w:t xml:space="preserve">Transport encryption, at-rest encryption, resilience, and structured logging conform to standards.</w:t>
      </w:r>
    </w:p>
    <w:p>
      <w:pPr>
        <w:pStyle w:val="Heading1"/>
      </w:pPr>
      <w:r>
        <w:t>Conditions</w:t>
      </w:r>
    </w:p>
    <w:p>
      <w:r>
        <w:t>None.</w:t>
      </w:r>
    </w:p>
    <w:p>
      <w:pPr>
        <w:pStyle w:val="Heading1"/>
      </w:pPr>
      <w:r>
        <w:t>Positive consequences</w:t>
      </w:r>
    </w:p>
    <w:p>
      <w:pPr>
        <w:pStyle w:val="ListBullet"/>
      </w:pPr>
      <w:r>
        <w:t xml:space="preserve">The service may proceed without additional remediation conditions.</w:t>
      </w:r>
    </w:p>
    <w:p>
      <w:pPr>
        <w:pStyle w:val="ListBullet"/>
      </w:pPr>
      <w:r>
        <w:t xml:space="preserve">The approved design aligns with enterprise hosting, identity, integration, and logging standards.</w:t>
      </w:r>
    </w:p>
    <w:p>
      <w:pPr>
        <w:pStyle w:val="ListBullet"/>
      </w:pPr>
      <w:r>
        <w:t xml:space="preserve">Operational controls for access review, versioning, and resilience are already embedded in the design.</w:t>
      </w:r>
    </w:p>
    <w:p>
      <w:pPr>
        <w:pStyle w:val="Heading1"/>
      </w:pPr>
      <w:r>
        <w:t>Negative consequences</w:t>
      </w:r>
    </w:p>
    <w:p>
      <w:pPr>
        <w:pStyle w:val="ListBullet"/>
      </w:pPr>
      <w:r>
        <w:t xml:space="preserve">Approval does not remove the need to maintain the stated controls over time.</w:t>
      </w:r>
    </w:p>
    <w:p>
      <w:pPr>
        <w:pStyle w:val="ListBullet"/>
      </w:pPr>
      <w:r>
        <w:t xml:space="preserve">Future changes to hosting, residency, identity, integration, or encryption could require renewed conformance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