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80B9" w14:textId="77777777" w:rsidR="00DA4B06" w:rsidRPr="00DA4B06" w:rsidRDefault="00DA4B06" w:rsidP="00DA4B06">
      <w:pPr>
        <w:rPr>
          <w:rFonts w:ascii="Cambria" w:hAnsi="Cambria"/>
          <w:b/>
          <w:bCs/>
          <w:i/>
          <w:iCs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B06">
        <w:rPr>
          <w:rFonts w:ascii="Cambria" w:hAnsi="Cambria"/>
          <w:b/>
          <w:bCs/>
          <w:i/>
          <w:iCs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BUSINESS INSIGHTS – BLINKIT SALES ANALYSIS</w:t>
      </w:r>
    </w:p>
    <w:p w14:paraId="6D931A29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</w:p>
    <w:p w14:paraId="3F5F98BF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1. Total Sales Overview</w:t>
      </w:r>
    </w:p>
    <w:p w14:paraId="5173A8FC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The total sales generated across all outlets were approximately ₹1.20 Million. Among different outlet types, Supermarket Type 1 contributed the highest sales revenue, accounting for nearly ₹787.55K of total sales.</w:t>
      </w:r>
    </w:p>
    <w:p w14:paraId="5D269DF7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</w:p>
    <w:p w14:paraId="2D870571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2. Customer Rating Analysis</w:t>
      </w:r>
    </w:p>
    <w:p w14:paraId="2FE88B6E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The average customer rating across products remained around 3.9, indicating generally positive customer satisfaction and consistent product quality across categories.</w:t>
      </w:r>
    </w:p>
    <w:p w14:paraId="0739CA77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</w:p>
    <w:p w14:paraId="4F18DFFE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3. Outlet Performance Analysis</w:t>
      </w:r>
    </w:p>
    <w:p w14:paraId="0855E5EC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Tier 3 outlets generated the highest sales among all outlet locations, showing strong customer demand in semi-urban regions. Tier 2 outlets also performed well, while Tier 1 outlets contributed comparatively lower revenue.</w:t>
      </w:r>
    </w:p>
    <w:p w14:paraId="62624F9F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</w:p>
    <w:p w14:paraId="70956C23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4. Outlet Size Analysis</w:t>
      </w:r>
    </w:p>
    <w:p w14:paraId="2F6271B4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Medium-sized outlets contributed the highest share of overall revenue, generating approximately ₹507K in sales. This suggests that medium-sized outlets provide the best operational efficiency and customer reach.</w:t>
      </w:r>
    </w:p>
    <w:p w14:paraId="6EB0CAF3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</w:p>
    <w:p w14:paraId="0F66ADD6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5. Product Category Insights</w:t>
      </w:r>
    </w:p>
    <w:p w14:paraId="7127B166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Item categories such as Fruits &amp; Vegetables, Snack Foods, and Household items recorded the highest sales volumes. These products represent essential daily-use consumer goods and therefore experience consistently high demand.</w:t>
      </w:r>
    </w:p>
    <w:p w14:paraId="1ACD7AE9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</w:p>
    <w:p w14:paraId="57F10300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6. Fat Content Analysis</w:t>
      </w:r>
    </w:p>
    <w:p w14:paraId="540D0658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Low-fat products generated higher sales compared to regular-fat products. This indicates increasing customer preference toward healthier food choices and balanced dietary habits.</w:t>
      </w:r>
    </w:p>
    <w:p w14:paraId="12B934AA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</w:p>
    <w:p w14:paraId="6626174D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7. Outlet Establishment Trend</w:t>
      </w:r>
    </w:p>
    <w:p w14:paraId="5E58D1FE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lastRenderedPageBreak/>
        <w:t>Sales performance increased gradually over the years and reached its peak around 2018. After this period, sales remained relatively stable, indicating business maturity and sustained market performance.</w:t>
      </w:r>
    </w:p>
    <w:p w14:paraId="107CE221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</w:p>
    <w:p w14:paraId="21FBD233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8. Correlation Analysis</w:t>
      </w:r>
    </w:p>
    <w:p w14:paraId="54BBA992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The correlation heatmap revealed weak linear relationships among numerical variables such as:</w:t>
      </w:r>
    </w:p>
    <w:p w14:paraId="3E6524F9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- Sales</w:t>
      </w:r>
    </w:p>
    <w:p w14:paraId="4948439E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- Rating</w:t>
      </w:r>
    </w:p>
    <w:p w14:paraId="7456D219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- Item Weight</w:t>
      </w:r>
    </w:p>
    <w:p w14:paraId="41C6F0C8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- Item Visibility</w:t>
      </w:r>
    </w:p>
    <w:p w14:paraId="0810117C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- Outlet Establishment Year</w:t>
      </w:r>
    </w:p>
    <w:p w14:paraId="6B7B79F1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</w:p>
    <w:p w14:paraId="7B01FFB8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This suggests that sales performance is influenced by multiple combined business factors rather than a single dominant variable.</w:t>
      </w:r>
    </w:p>
    <w:p w14:paraId="16BC28B6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</w:p>
    <w:p w14:paraId="4B729320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9. Overall Business Conclusion</w:t>
      </w:r>
    </w:p>
    <w:p w14:paraId="058317A2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 xml:space="preserve">The </w:t>
      </w:r>
      <w:proofErr w:type="spellStart"/>
      <w:r w:rsidRPr="00DA4B06">
        <w:rPr>
          <w:rFonts w:ascii="Cambria" w:hAnsi="Cambria"/>
          <w:sz w:val="24"/>
          <w:szCs w:val="24"/>
        </w:rPr>
        <w:t>Blinkit</w:t>
      </w:r>
      <w:proofErr w:type="spellEnd"/>
      <w:r w:rsidRPr="00DA4B06">
        <w:rPr>
          <w:rFonts w:ascii="Cambria" w:hAnsi="Cambria"/>
          <w:sz w:val="24"/>
          <w:szCs w:val="24"/>
        </w:rPr>
        <w:t xml:space="preserve"> Sales Analysis Dashboard successfully highlights important business patterns related to:</w:t>
      </w:r>
    </w:p>
    <w:p w14:paraId="112E4FA3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 xml:space="preserve">- Customer purchasing </w:t>
      </w:r>
      <w:proofErr w:type="spellStart"/>
      <w:r w:rsidRPr="00DA4B06">
        <w:rPr>
          <w:rFonts w:ascii="Cambria" w:hAnsi="Cambria"/>
          <w:sz w:val="24"/>
          <w:szCs w:val="24"/>
        </w:rPr>
        <w:t>behavior</w:t>
      </w:r>
      <w:proofErr w:type="spellEnd"/>
    </w:p>
    <w:p w14:paraId="38B1D304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- Outlet performance</w:t>
      </w:r>
    </w:p>
    <w:p w14:paraId="18F92024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- Product demand</w:t>
      </w:r>
    </w:p>
    <w:p w14:paraId="2852B6D5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- Sales trends</w:t>
      </w:r>
    </w:p>
    <w:p w14:paraId="083CD43C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  <w:r w:rsidRPr="00DA4B06">
        <w:rPr>
          <w:rFonts w:ascii="Cambria" w:hAnsi="Cambria"/>
          <w:sz w:val="24"/>
          <w:szCs w:val="24"/>
        </w:rPr>
        <w:t>- Revenue contribution by outlet type</w:t>
      </w:r>
    </w:p>
    <w:p w14:paraId="20A6C6E2" w14:textId="77777777" w:rsidR="00DA4B06" w:rsidRPr="00DA4B06" w:rsidRDefault="00DA4B06" w:rsidP="00DA4B06">
      <w:pPr>
        <w:rPr>
          <w:rFonts w:ascii="Cambria" w:hAnsi="Cambria"/>
          <w:sz w:val="24"/>
          <w:szCs w:val="24"/>
        </w:rPr>
      </w:pPr>
    </w:p>
    <w:p w14:paraId="0413279E" w14:textId="392891B6" w:rsidR="003D710B" w:rsidRDefault="00DA4B06" w:rsidP="00DA4B06">
      <w:r w:rsidRPr="00DA4B06">
        <w:rPr>
          <w:rFonts w:ascii="Cambria" w:hAnsi="Cambria"/>
          <w:sz w:val="24"/>
          <w:szCs w:val="24"/>
        </w:rPr>
        <w:t>The analysis demonstrates how data visualization and business intelligence techniques can help organizations make informed strategic decisions</w:t>
      </w:r>
      <w:r>
        <w:t>.</w:t>
      </w:r>
    </w:p>
    <w:sectPr w:rsidR="003D7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06"/>
    <w:rsid w:val="003D710B"/>
    <w:rsid w:val="00664772"/>
    <w:rsid w:val="00717BBF"/>
    <w:rsid w:val="00DA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C073"/>
  <w15:chartTrackingRefBased/>
  <w15:docId w15:val="{BC476BB8-9228-403F-BCED-C37F416C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Soumotirtha Das</dc:creator>
  <cp:keywords/>
  <dc:description/>
  <cp:lastModifiedBy>Soumotirtha Das</cp:lastModifiedBy>
  <cp:revision>1</cp:revision>
  <dcterms:created xsi:type="dcterms:W3CDTF">2026-05-08T14:02:00Z</dcterms:created>
  <dcterms:modified xsi:type="dcterms:W3CDTF">2026-05-08T14:03:00Z</dcterms:modified>
</cp:coreProperties>
</file>