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Heart Attack Risk Prediction: An End-to-End Analytics Capstone</w:t>
      </w:r>
    </w:p>
    <w:p>
      <w:r>
        <w:rPr>
          <w:i/>
          <w:iCs/>
        </w:rPr>
        <w:t xml:space="preserve">Applied AI &amp; Data Analytics — Capstone Project Report</w:t>
      </w:r>
    </w:p>
    <w:p/>
    <w:p>
      <w:pPr>
        <w:pStyle w:val="Heading1"/>
      </w:pPr>
      <w:r>
        <w:t xml:space="preserve">1. Problem Statement</w:t>
      </w:r>
    </w:p>
    <w:p>
      <w:r>
        <w:t xml:space="preserve">Cardiovascular disease remains one of the leading causes of preventable mortality, and early risk identification is critical for timely clinical intervention. This project builds an end-to-end data analytics and machine learning pipeline to predict heart attack risk from patient clinical attributes, and translates model outputs into actionable triage recommendations for a healthcare provider seeking to prioritize limited follow-up resources toward the patients most likely to be at risk.</w:t>
      </w:r>
    </w:p>
    <w:p>
      <w:pPr>
        <w:spacing w:before="200"/>
      </w:pPr>
      <w:r>
        <w:t xml:space="preserve">Core Business Questions:</w:t>
      </w:r>
    </w:p>
    <w:p>
      <w:pPr>
        <w:pStyle w:val="ListParagraph"/>
        <w:numPr>
          <w:ilvl w:val="0"/>
          <w:numId w:val="1"/>
        </w:numPr>
      </w:pPr>
      <w:r>
        <w:t xml:space="preserve">What patient attributes are most strongly associated with heart attack risk?</w:t>
      </w:r>
    </w:p>
    <w:p>
      <w:pPr>
        <w:pStyle w:val="ListParagraph"/>
        <w:numPr>
          <w:ilvl w:val="0"/>
          <w:numId w:val="1"/>
        </w:numPr>
      </w:pPr>
      <w:r>
        <w:t xml:space="preserve">Can we reliably classify patients as at-risk or not at-risk using clinical measurements?</w:t>
      </w:r>
    </w:p>
    <w:p>
      <w:pPr>
        <w:pStyle w:val="ListParagraph"/>
        <w:numPr>
          <w:ilvl w:val="0"/>
          <w:numId w:val="1"/>
        </w:numPr>
      </w:pPr>
      <w:r>
        <w:t xml:space="preserve">Which patients should be prioritized for early clinical follow-up given limited resources?</w:t>
      </w:r>
    </w:p>
    <w:p>
      <w:pPr>
        <w:pStyle w:val="ListParagraph"/>
        <w:numPr>
          <w:ilvl w:val="0"/>
          <w:numId w:val="1"/>
        </w:numPr>
      </w:pPr>
      <w:r>
        <w:t xml:space="preserve">What is the acceptable trade-off between false positives (unnecessary follow-ups) and false negatives (missed at-risk patients)?</w:t>
      </w:r>
    </w:p>
    <w:p>
      <w:pPr>
        <w:pStyle w:val="Heading1"/>
      </w:pPr>
      <w:r>
        <w:t xml:space="preserve">2. Data Hygiene &amp; Preparation</w:t>
      </w:r>
    </w:p>
    <w:p>
      <w:r>
        <w:t xml:space="preserve">The dataset was audited for missing values, duplicate records, and non-informative fields prior to analysis. The record identifier (id) column was reviewed and excluded from the feature set, as a raw identifier carries no legitimate clinical predictive relationship with patient outcomes; any apparent correlation with the target is an artifact of record ordering rather than a genuine signal. The target variable (num) was clearly separated from the feature matrix prior to model training to avoid target leakage.</w:t>
      </w:r>
    </w:p>
    <w:p>
      <w:pPr>
        <w:pStyle w:val="Heading1"/>
      </w:pPr>
      <w:r>
        <w:t xml:space="preserve">3. Descriptive Analytics (Level 1)</w:t>
      </w:r>
    </w:p>
    <w:p>
      <w:r>
        <w:t xml:space="preserve">Exploratory visualizations were built to establish a baseline understanding of the patient population.</w:t>
      </w:r>
    </w:p>
    <w:p>
      <w:pPr>
        <w:spacing w:before="150"/>
      </w:pPr>
      <w:r>
        <w:t xml:space="preserve">Observation — Age Distribution:</w:t>
      </w:r>
    </w:p>
    <w:p>
      <w:r>
        <w:t xml:space="preserve">The dataset's age distribution is approximately normal, ranging from roughly 28 to 77 years, with the highest concentration of patients between 45 and 65 years old and a peak around age 50-55.</w:t>
      </w:r>
    </w:p>
    <w:p>
      <w:pPr>
        <w:spacing w:before="100"/>
      </w:pPr>
      <w:r>
        <w:t xml:space="preserve">Insight:</w:t>
      </w:r>
    </w:p>
    <w:p>
      <w:r>
        <w:t xml:space="preserve">Model predictions will be most reliable for the 45-65 age band due to greater sample density; predictions for patients under 35 or over 70 should be treated with additional caution given limited representation in the training data.</w:t>
      </w:r>
    </w:p>
    <w:p>
      <w:pPr>
        <w:spacing w:before="150"/>
      </w:pPr>
      <w:r>
        <w:t xml:space="preserve">Additional descriptive views covered the balance of at-risk vs. not-at-risk patients, cholesterol and resting blood pressure distributions, chest pain type frequency, and the relationship between age and maximum heart rate achieved, segmented by risk outcome.</w:t>
      </w:r>
    </w:p>
    <w:p>
      <w:pPr>
        <w:pStyle w:val="Heading1"/>
      </w:pPr>
      <w:r>
        <w:t xml:space="preserve">4. Diagnostic Analytics (Level 2)</w:t>
      </w:r>
    </w:p>
    <w:p>
      <w:r>
        <w:t xml:space="preserve">A correlation analysis and categorical cross-tabulation were used to investigate which features are associated with elevated risk. Correlation coefficients against the target variable were as follows: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Correlation with Risk</w:t>
            </w:r>
          </w:p>
        </w:tc>
      </w:tr>
      <w:tr>
        <w:tc>
          <w:tcPr>
            <w:tcW w:type="dxa" w:w="3000"/>
          </w:tcPr>
          <w:p>
            <w:r>
              <w:t xml:space="preserve">ca (major vessels colored)</w:t>
            </w:r>
          </w:p>
        </w:tc>
        <w:tc>
          <w:tcPr>
            <w:tcW w:type="dxa" w:w="3000"/>
          </w:tcPr>
          <w:p>
            <w:r>
              <w:t xml:space="preserve">0.516</w:t>
            </w:r>
          </w:p>
        </w:tc>
      </w:tr>
      <w:tr>
        <w:tc>
          <w:tcPr>
            <w:tcW w:type="dxa" w:w="3000"/>
          </w:tcPr>
          <w:p>
            <w:r>
              <w:t xml:space="preserve">oldpeak (ST depression)</w:t>
            </w:r>
          </w:p>
        </w:tc>
        <w:tc>
          <w:tcPr>
            <w:tcW w:type="dxa" w:w="3000"/>
          </w:tcPr>
          <w:p>
            <w:r>
              <w:t xml:space="preserve">0.443</w:t>
            </w:r>
          </w:p>
        </w:tc>
      </w:tr>
      <w:tr>
        <w:tc>
          <w:tcPr>
            <w:tcW w:type="dxa" w:w="3000"/>
          </w:tcPr>
          <w:p>
            <w:r>
              <w:t xml:space="preserve">age</w:t>
            </w:r>
          </w:p>
        </w:tc>
        <w:tc>
          <w:tcPr>
            <w:tcW w:type="dxa" w:w="3000"/>
          </w:tcPr>
          <w:p>
            <w:r>
              <w:t xml:space="preserve">0.340</w:t>
            </w:r>
          </w:p>
        </w:tc>
      </w:tr>
      <w:tr>
        <w:tc>
          <w:tcPr>
            <w:tcW w:type="dxa" w:w="3000"/>
          </w:tcPr>
          <w:p>
            <w:r>
              <w:t xml:space="preserve">trestbps (resting BP)</w:t>
            </w:r>
          </w:p>
        </w:tc>
        <w:tc>
          <w:tcPr>
            <w:tcW w:type="dxa" w:w="3000"/>
          </w:tcPr>
          <w:p>
            <w:r>
              <w:t xml:space="preserve">0.122</w:t>
            </w:r>
          </w:p>
        </w:tc>
      </w:tr>
      <w:tr>
        <w:tc>
          <w:tcPr>
            <w:tcW w:type="dxa" w:w="3000"/>
          </w:tcPr>
          <w:p>
            <w:r>
              <w:t xml:space="preserve">chol (cholesterol)</w:t>
            </w:r>
          </w:p>
        </w:tc>
        <w:tc>
          <w:tcPr>
            <w:tcW w:type="dxa" w:w="3000"/>
          </w:tcPr>
          <w:p>
            <w:r>
              <w:t xml:space="preserve">-0.232</w:t>
            </w:r>
          </w:p>
        </w:tc>
      </w:tr>
      <w:tr>
        <w:tc>
          <w:tcPr>
            <w:tcW w:type="dxa" w:w="3000"/>
          </w:tcPr>
          <w:p>
            <w:r>
              <w:t xml:space="preserve">thalch (max heart rate)</w:t>
            </w:r>
          </w:p>
        </w:tc>
        <w:tc>
          <w:tcPr>
            <w:tcW w:type="dxa" w:w="3000"/>
          </w:tcPr>
          <w:p>
            <w:r>
              <w:t xml:space="preserve">-0.366</w:t>
            </w:r>
          </w:p>
        </w:tc>
      </w:tr>
    </w:tbl>
    <w:p/>
    <w:p>
      <w:pPr>
        <w:spacing w:before="150"/>
      </w:pPr>
      <w:r>
        <w:t xml:space="preserve">Observation:</w:t>
      </w:r>
    </w:p>
    <w:p>
      <w:r>
        <w:t xml:space="preserve">Number of major vessels colored by fluoroscopy (ca) and ST depression induced by exercise (oldpeak) show the strongest positive association with risk. Maximum heart rate achieved (thalch) shows a moderate negative association — patients with lower peak heart rates during stress testing tend to show higher risk.</w:t>
      </w:r>
    </w:p>
    <w:p>
      <w:pPr>
        <w:spacing w:before="100"/>
      </w:pPr>
      <w:r>
        <w:t xml:space="preserve">Hypothesis:</w:t>
      </w:r>
    </w:p>
    <w:p>
      <w:r>
        <w:t xml:space="preserve">These patterns are consistent with known cardiovascular risk indicators; ca and oldpeak are associated with higher risk in this dataset, though this analysis does not establish causation.</w:t>
      </w:r>
    </w:p>
    <w:p>
      <w:pPr>
        <w:pStyle w:val="Heading1"/>
      </w:pPr>
      <w:r>
        <w:t xml:space="preserve">5. Predictive Analytics (Level 3)</w:t>
      </w:r>
    </w:p>
    <w:p>
      <w:r>
        <w:t xml:space="preserve">A K-Nearest Neighbors (KNN) classifier was trained on the cleaned, leakage-checked feature set, with the record identifier and any pre-derived severity labels excluded from the input features. Model performance on the held-out test set:</w:t>
      </w:r>
    </w:p>
    <w:p>
      <w:pPr>
        <w:pStyle w:val="ListParagraph"/>
        <w:numPr>
          <w:ilvl w:val="0"/>
          <w:numId w:val="1"/>
        </w:numPr>
      </w:pPr>
      <w:r>
        <w:t xml:space="preserve">Accuracy: 83.70%</w:t>
      </w:r>
    </w:p>
    <w:p>
      <w:pPr>
        <w:pStyle w:val="ListParagraph"/>
        <w:numPr>
          <w:ilvl w:val="0"/>
          <w:numId w:val="1"/>
        </w:numPr>
      </w:pPr>
      <w:r>
        <w:t xml:space="preserve">Precision: 87.16%</w:t>
      </w:r>
    </w:p>
    <w:p>
      <w:pPr>
        <w:pStyle w:val="ListParagraph"/>
        <w:numPr>
          <w:ilvl w:val="0"/>
          <w:numId w:val="1"/>
        </w:numPr>
      </w:pPr>
      <w:r>
        <w:t xml:space="preserve">Recall: 85.59%</w:t>
      </w:r>
    </w:p>
    <w:p>
      <w:pPr>
        <w:pStyle w:val="ListParagraph"/>
        <w:numPr>
          <w:ilvl w:val="0"/>
          <w:numId w:val="1"/>
        </w:numPr>
      </w:pPr>
      <w:r>
        <w:t xml:space="preserve">F1 Score: 86.36%</w:t>
      </w:r>
    </w:p>
    <w:p>
      <w:pPr>
        <w:spacing w:before="150"/>
      </w:pPr>
      <w:r>
        <w:t xml:space="preserve">Business trade-off: in a clinical risk-screening context, a false negative (an at-risk patient classified as low-risk) is substantially more costly than a false positive (a low-risk patient flagged for an unnecessary follow-up), since a missed diagnosis carries a direct health consequence. The model's current Precision and Recall are closely balanced (87.16% vs. 85.59%), indicating no strong skew toward either error type; a deliberate threshold adjustment favoring Recall is discussed in the recommendations below.</w:t>
      </w:r>
    </w:p>
    <w:p>
      <w:pPr>
        <w:pStyle w:val="Heading1"/>
      </w:pPr>
      <w:r>
        <w:t xml:space="preserve">6. Prescriptive Analytics &amp; Recommendations (Level 4)</w:t>
      </w:r>
    </w:p>
    <w:p>
      <w:pPr>
        <w:pStyle w:val="Heading2"/>
      </w:pPr>
      <w:r>
        <w:t xml:space="preserve">Recommendation 1 — Priority Triage Rule</w:t>
      </w:r>
    </w:p>
    <w:p>
      <w:r>
        <w:t xml:space="preserve">Patients flagged at-risk by the model whose records show ca ≥ 1 combined with an elevated oldpeak value should be escalated for cardiologist review within 7 days, since these two features carry the strongest positive association with risk in this dataset (r = 0.52 and r = 0.44 respectively).</w:t>
      </w:r>
    </w:p>
    <w:p>
      <w:pPr>
        <w:pStyle w:val="Heading2"/>
      </w:pPr>
      <w:r>
        <w:t xml:space="preserve">Recommendation 2 — Stress-Test Screening Protocol</w:t>
      </w:r>
    </w:p>
    <w:p>
      <w:r>
        <w:t xml:space="preserve">Since maximum heart rate achieved (thalch) is negatively associated with risk, clinics should flag patients over 50 who also show a below-median maximum heart rate under stress testing for earlier intervention, rather than relying on age as a standalone trigger.</w:t>
      </w:r>
    </w:p>
    <w:p>
      <w:pPr>
        <w:pStyle w:val="Heading2"/>
      </w:pPr>
      <w:r>
        <w:t xml:space="preserve">Recommendation 3 — Recall-Aware Threshold Policy</w:t>
      </w:r>
    </w:p>
    <w:p>
      <w:r>
        <w:t xml:space="preserve">Given that a missed at-risk patient is clinically costlier than an unnecessary follow-up call, it is recommended that the classification threshold be tuned to favor Recall over Precision, accepting a modest increase in false positives in exchange for catching more true at-risk cases.</w:t>
      </w:r>
    </w:p>
    <w:p>
      <w:pPr>
        <w:pStyle w:val="Heading2"/>
      </w:pPr>
      <w:r>
        <w:t xml:space="preserve">Recommendation 4 — Data Governance</w:t>
      </w:r>
    </w:p>
    <w:p>
      <w:r>
        <w:t xml:space="preserve">Future data collection and model iterations should explicitly exclude non-clinical identifiers (such as record ID) from the feature set at the pipeline level, since such fields carry no legitimate predictive relationship with health outcomes and risk introducing spurious artifacts.</w:t>
      </w:r>
    </w:p>
    <w:p>
      <w:pPr>
        <w:pStyle w:val="Heading1"/>
      </w:pPr>
      <w:r>
        <w:t xml:space="preserve">7. Conclusion</w:t>
      </w:r>
    </w:p>
    <w:p>
      <w:r>
        <w:t xml:space="preserve">This project demonstrates a complete analytics lifecycle — from raw clinical data through descriptive profiling, diagnostic root-cause investigation, predictive classification, and prescriptive business recommendations. The resulting KNN model achieves 83.7% accuracy with balanced precision and recall, and the recommendations above translate its outputs into concrete, resource-aware clinical actions rather than generic advice.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2026-09-23T13:47:37.869Z</dcterms:created>
  <dcterms:modified xsi:type="dcterms:W3CDTF">2026-09-23T13:47:37.869Z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