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7FB54" w14:textId="77777777" w:rsidR="003100EC" w:rsidRPr="00812257" w:rsidRDefault="00BB09E9">
      <w:pPr>
        <w:spacing w:after="60"/>
        <w:rPr>
          <w:color w:val="000000" w:themeColor="text1"/>
        </w:rPr>
      </w:pPr>
      <w:r w:rsidRPr="00812257">
        <w:rPr>
          <w:b/>
          <w:bCs/>
          <w:color w:val="000000" w:themeColor="text1"/>
          <w:sz w:val="40"/>
          <w:szCs w:val="40"/>
        </w:rPr>
        <w:t>Sales Forecasting &amp; Demand Intelligence</w:t>
      </w:r>
    </w:p>
    <w:p w14:paraId="5597FB56" w14:textId="73B4073E" w:rsidR="003100EC" w:rsidRPr="00812257" w:rsidRDefault="00BB09E9">
      <w:pPr>
        <w:pBdr>
          <w:bottom w:val="single" w:sz="6" w:space="0" w:color="2F5496"/>
        </w:pBdr>
        <w:spacing w:after="300"/>
        <w:rPr>
          <w:color w:val="000000" w:themeColor="text1"/>
        </w:rPr>
      </w:pPr>
      <w:r w:rsidRPr="00812257">
        <w:rPr>
          <w:color w:val="000000" w:themeColor="text1"/>
        </w:rPr>
        <w:t xml:space="preserve">Prepared for: Head of Supply Chain &amp; CFO   |   Prepared by: </w:t>
      </w:r>
      <w:r w:rsidR="00812257">
        <w:rPr>
          <w:color w:val="000000" w:themeColor="text1"/>
        </w:rPr>
        <w:t>Soumojit</w:t>
      </w:r>
      <w:r w:rsidRPr="00812257">
        <w:rPr>
          <w:color w:val="000000" w:themeColor="text1"/>
        </w:rPr>
        <w:t xml:space="preserve">   |   Date: July 2026</w:t>
      </w:r>
    </w:p>
    <w:p w14:paraId="5597FB57" w14:textId="77777777" w:rsidR="003100EC" w:rsidRPr="00812257" w:rsidRDefault="00BB09E9">
      <w:pPr>
        <w:pStyle w:val="Heading1"/>
        <w:spacing w:before="200" w:after="100"/>
        <w:rPr>
          <w:color w:val="000000" w:themeColor="text1"/>
        </w:rPr>
      </w:pPr>
      <w:r w:rsidRPr="00812257">
        <w:rPr>
          <w:color w:val="000000" w:themeColor="text1"/>
        </w:rPr>
        <w:t>Executive Summary</w:t>
      </w:r>
    </w:p>
    <w:p w14:paraId="5597FB58" w14:textId="77777777" w:rsidR="003100EC" w:rsidRPr="00812257" w:rsidRDefault="00BB09E9">
      <w:pPr>
        <w:spacing w:after="120"/>
        <w:rPr>
          <w:color w:val="000000" w:themeColor="text1"/>
        </w:rPr>
      </w:pPr>
      <w:r w:rsidRPr="00812257">
        <w:rPr>
          <w:color w:val="000000" w:themeColor="text1"/>
        </w:rPr>
        <w:t xml:space="preserve">We built a system that looks at four years of our sales history to predict how much we'll sell over the next three months, flag unusual weeks that need explaining, and group our products by how steady or unpredictable their demand is. The short version: overall demand is strongly seasonal with a reliable year-end holiday peak, our best forecasting model is accurate to within about 15% of actual sales on recent test months, a small number of specific weeks each year show sales spikes or drops worth planning </w:t>
      </w:r>
      <w:r w:rsidRPr="00812257">
        <w:rPr>
          <w:color w:val="000000" w:themeColor="text1"/>
        </w:rPr>
        <w:t>inventory around in advance, and our product sub-categories split into four distinct demand groups that should not all be stocked the same way.</w:t>
      </w:r>
    </w:p>
    <w:p w14:paraId="5597FB59" w14:textId="77777777" w:rsidR="003100EC" w:rsidRPr="00812257" w:rsidRDefault="00BB09E9">
      <w:pPr>
        <w:pStyle w:val="Heading1"/>
        <w:spacing w:before="200" w:after="100"/>
        <w:rPr>
          <w:color w:val="000000" w:themeColor="text1"/>
        </w:rPr>
      </w:pPr>
      <w:r w:rsidRPr="00812257">
        <w:rPr>
          <w:color w:val="000000" w:themeColor="text1"/>
        </w:rPr>
        <w:t>Key Findings from Exploratory Analysis</w:t>
      </w:r>
    </w:p>
    <w:p w14:paraId="5597FB5A" w14:textId="77777777" w:rsidR="003100EC" w:rsidRPr="00812257" w:rsidRDefault="00BB09E9">
      <w:pPr>
        <w:pStyle w:val="ListParagraph"/>
        <w:numPr>
          <w:ilvl w:val="0"/>
          <w:numId w:val="1"/>
        </w:numPr>
        <w:spacing w:after="60"/>
        <w:rPr>
          <w:color w:val="000000" w:themeColor="text1"/>
        </w:rPr>
      </w:pPr>
      <w:r w:rsidRPr="00812257">
        <w:rPr>
          <w:color w:val="000000" w:themeColor="text1"/>
        </w:rPr>
        <w:t>Technology is our highest-revenue category, generating roughly $827K over the analysis period, narrowly ahead of Furniture (~$729K) and Office Supplies (~$705K) — all three categories are within a fairly close range of each other.</w:t>
      </w:r>
    </w:p>
    <w:p w14:paraId="5597FB5B" w14:textId="77777777" w:rsidR="003100EC" w:rsidRPr="00812257" w:rsidRDefault="00BB09E9">
      <w:pPr>
        <w:pStyle w:val="ListParagraph"/>
        <w:numPr>
          <w:ilvl w:val="0"/>
          <w:numId w:val="1"/>
        </w:numPr>
        <w:spacing w:after="60"/>
        <w:rPr>
          <w:color w:val="000000" w:themeColor="text1"/>
        </w:rPr>
      </w:pPr>
      <w:r w:rsidRPr="00812257">
        <w:rPr>
          <w:color w:val="000000" w:themeColor="text1"/>
        </w:rPr>
        <w:t>The East region shows the most consistent year-over-year growth — positive growth in every year measured, with the lowest volatility (~1.8% std dev) of any region.</w:t>
      </w:r>
    </w:p>
    <w:p w14:paraId="5597FB5C" w14:textId="77777777" w:rsidR="003100EC" w:rsidRPr="00812257" w:rsidRDefault="00BB09E9">
      <w:pPr>
        <w:pStyle w:val="ListParagraph"/>
        <w:numPr>
          <w:ilvl w:val="0"/>
          <w:numId w:val="1"/>
        </w:numPr>
        <w:spacing w:after="60"/>
        <w:rPr>
          <w:color w:val="000000" w:themeColor="text1"/>
        </w:rPr>
      </w:pPr>
      <w:r w:rsidRPr="00812257">
        <w:rPr>
          <w:color w:val="000000" w:themeColor="text1"/>
        </w:rPr>
        <w:t>Average time from order to shipment is about 4.0 days company-wide, with only a ~0.16-day (under 4-hour) spread between our fastest (East) and slowest (Central) regions — shipping speed is not currently a major regional inconsistency.</w:t>
      </w:r>
    </w:p>
    <w:p w14:paraId="5597FB5D" w14:textId="77777777" w:rsidR="003100EC" w:rsidRPr="00812257" w:rsidRDefault="00BB09E9">
      <w:pPr>
        <w:pStyle w:val="ListParagraph"/>
        <w:numPr>
          <w:ilvl w:val="0"/>
          <w:numId w:val="1"/>
        </w:numPr>
        <w:spacing w:after="60"/>
        <w:rPr>
          <w:color w:val="000000" w:themeColor="text1"/>
        </w:rPr>
      </w:pPr>
      <w:r w:rsidRPr="00812257">
        <w:rPr>
          <w:color w:val="000000" w:themeColor="text1"/>
        </w:rPr>
        <w:t>Sales are seasonal: November, September, and December consistently rank among the highest-sales months across all 4 years, confirming a clear year-end holiday pattern that demand planning should be built around.</w:t>
      </w:r>
    </w:p>
    <w:p w14:paraId="5597FB5E" w14:textId="77777777" w:rsidR="003100EC" w:rsidRPr="00812257" w:rsidRDefault="00BB09E9">
      <w:pPr>
        <w:pStyle w:val="ListParagraph"/>
        <w:numPr>
          <w:ilvl w:val="0"/>
          <w:numId w:val="1"/>
        </w:numPr>
        <w:spacing w:after="60"/>
        <w:rPr>
          <w:color w:val="000000" w:themeColor="text1"/>
        </w:rPr>
      </w:pPr>
      <w:r w:rsidRPr="00812257">
        <w:rPr>
          <w:color w:val="000000" w:themeColor="text1"/>
        </w:rPr>
        <w:t>Statistical testing (Augmented Dickey-Fuller) found the raw monthly sales series was already statistically stationary, and remained so after differencing — meaning the strong seasonal swings we see are repeating and predictable rather than an ever-widening trend, which supports using a seasonal model like SARIMA with confidence.</w:t>
      </w:r>
    </w:p>
    <w:p w14:paraId="5597FB5F" w14:textId="77777777" w:rsidR="003100EC" w:rsidRPr="00812257" w:rsidRDefault="00BB09E9">
      <w:pPr>
        <w:pStyle w:val="Heading1"/>
        <w:spacing w:before="200" w:after="100"/>
        <w:rPr>
          <w:color w:val="000000" w:themeColor="text1"/>
        </w:rPr>
      </w:pPr>
      <w:r w:rsidRPr="00812257">
        <w:rPr>
          <w:color w:val="000000" w:themeColor="text1"/>
        </w:rPr>
        <w:t>3-Month Sales Forecast</w:t>
      </w:r>
    </w:p>
    <w:p w14:paraId="5597FB60" w14:textId="77777777" w:rsidR="003100EC" w:rsidRPr="00812257" w:rsidRDefault="00BB09E9">
      <w:pPr>
        <w:spacing w:after="120"/>
        <w:rPr>
          <w:color w:val="000000" w:themeColor="text1"/>
        </w:rPr>
      </w:pPr>
      <w:r w:rsidRPr="00812257">
        <w:rPr>
          <w:color w:val="000000" w:themeColor="text1"/>
        </w:rPr>
        <w:t>We tested three different forecasting approaches side by side on the same held-out three months of real (unseen-to-the-model) data, so the comparison below reflects genuine predictive accuracy, not just fit to history.</w:t>
      </w:r>
    </w:p>
    <w:tbl>
      <w:tblPr>
        <w:tblW w:w="11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500"/>
        <w:gridCol w:w="1500"/>
        <w:gridCol w:w="1500"/>
        <w:gridCol w:w="1600"/>
        <w:gridCol w:w="1600"/>
        <w:gridCol w:w="1600"/>
      </w:tblGrid>
      <w:tr w:rsidR="003100EC" w:rsidRPr="00812257" w14:paraId="5597FB68" w14:textId="77777777">
        <w:tblPrEx>
          <w:tblCellMar>
            <w:top w:w="0" w:type="dxa"/>
            <w:bottom w:w="0" w:type="dxa"/>
          </w:tblCellMar>
        </w:tblPrEx>
        <w:tc>
          <w:tcPr>
            <w:tcW w:w="1800" w:type="dxa"/>
            <w:shd w:val="clear" w:color="auto" w:fill="2F5496"/>
          </w:tcPr>
          <w:p w14:paraId="5597FB61" w14:textId="77777777" w:rsidR="003100EC" w:rsidRPr="00812257" w:rsidRDefault="00BB09E9">
            <w:pPr>
              <w:rPr>
                <w:color w:val="000000" w:themeColor="text1"/>
              </w:rPr>
            </w:pPr>
            <w:r w:rsidRPr="00812257">
              <w:rPr>
                <w:b/>
                <w:bCs/>
                <w:color w:val="000000" w:themeColor="text1"/>
              </w:rPr>
              <w:t>Model</w:t>
            </w:r>
          </w:p>
        </w:tc>
        <w:tc>
          <w:tcPr>
            <w:tcW w:w="1500" w:type="dxa"/>
            <w:shd w:val="clear" w:color="auto" w:fill="2F5496"/>
          </w:tcPr>
          <w:p w14:paraId="5597FB62" w14:textId="77777777" w:rsidR="003100EC" w:rsidRPr="00812257" w:rsidRDefault="00BB09E9">
            <w:pPr>
              <w:rPr>
                <w:color w:val="000000" w:themeColor="text1"/>
              </w:rPr>
            </w:pPr>
            <w:r w:rsidRPr="00812257">
              <w:rPr>
                <w:b/>
                <w:bCs/>
                <w:color w:val="000000" w:themeColor="text1"/>
              </w:rPr>
              <w:t>MAE ($)</w:t>
            </w:r>
          </w:p>
        </w:tc>
        <w:tc>
          <w:tcPr>
            <w:tcW w:w="1500" w:type="dxa"/>
            <w:shd w:val="clear" w:color="auto" w:fill="2F5496"/>
          </w:tcPr>
          <w:p w14:paraId="5597FB63" w14:textId="77777777" w:rsidR="003100EC" w:rsidRPr="00812257" w:rsidRDefault="00BB09E9">
            <w:pPr>
              <w:rPr>
                <w:color w:val="000000" w:themeColor="text1"/>
              </w:rPr>
            </w:pPr>
            <w:r w:rsidRPr="00812257">
              <w:rPr>
                <w:b/>
                <w:bCs/>
                <w:color w:val="000000" w:themeColor="text1"/>
              </w:rPr>
              <w:t>RMSE ($)</w:t>
            </w:r>
          </w:p>
        </w:tc>
        <w:tc>
          <w:tcPr>
            <w:tcW w:w="1500" w:type="dxa"/>
            <w:shd w:val="clear" w:color="auto" w:fill="2F5496"/>
          </w:tcPr>
          <w:p w14:paraId="5597FB64" w14:textId="77777777" w:rsidR="003100EC" w:rsidRPr="00812257" w:rsidRDefault="00BB09E9">
            <w:pPr>
              <w:rPr>
                <w:color w:val="000000" w:themeColor="text1"/>
              </w:rPr>
            </w:pPr>
            <w:r w:rsidRPr="00812257">
              <w:rPr>
                <w:b/>
                <w:bCs/>
                <w:color w:val="000000" w:themeColor="text1"/>
              </w:rPr>
              <w:t>MAPE (%)</w:t>
            </w:r>
          </w:p>
        </w:tc>
        <w:tc>
          <w:tcPr>
            <w:tcW w:w="1600" w:type="dxa"/>
            <w:shd w:val="clear" w:color="auto" w:fill="2F5496"/>
          </w:tcPr>
          <w:p w14:paraId="5597FB65" w14:textId="77777777" w:rsidR="003100EC" w:rsidRPr="00812257" w:rsidRDefault="00BB09E9">
            <w:pPr>
              <w:rPr>
                <w:color w:val="000000" w:themeColor="text1"/>
              </w:rPr>
            </w:pPr>
            <w:proofErr w:type="spellStart"/>
            <w:r w:rsidRPr="00812257">
              <w:rPr>
                <w:b/>
                <w:bCs/>
                <w:color w:val="000000" w:themeColor="text1"/>
              </w:rPr>
              <w:t>Fcst</w:t>
            </w:r>
            <w:proofErr w:type="spellEnd"/>
            <w:r w:rsidRPr="00812257">
              <w:rPr>
                <w:b/>
                <w:bCs/>
                <w:color w:val="000000" w:themeColor="text1"/>
              </w:rPr>
              <w:t xml:space="preserve"> M1</w:t>
            </w:r>
          </w:p>
        </w:tc>
        <w:tc>
          <w:tcPr>
            <w:tcW w:w="1600" w:type="dxa"/>
            <w:shd w:val="clear" w:color="auto" w:fill="2F5496"/>
          </w:tcPr>
          <w:p w14:paraId="5597FB66" w14:textId="77777777" w:rsidR="003100EC" w:rsidRPr="00812257" w:rsidRDefault="00BB09E9">
            <w:pPr>
              <w:rPr>
                <w:color w:val="000000" w:themeColor="text1"/>
              </w:rPr>
            </w:pPr>
            <w:proofErr w:type="spellStart"/>
            <w:r w:rsidRPr="00812257">
              <w:rPr>
                <w:b/>
                <w:bCs/>
                <w:color w:val="000000" w:themeColor="text1"/>
              </w:rPr>
              <w:t>Fcst</w:t>
            </w:r>
            <w:proofErr w:type="spellEnd"/>
            <w:r w:rsidRPr="00812257">
              <w:rPr>
                <w:b/>
                <w:bCs/>
                <w:color w:val="000000" w:themeColor="text1"/>
              </w:rPr>
              <w:t xml:space="preserve"> M2</w:t>
            </w:r>
          </w:p>
        </w:tc>
        <w:tc>
          <w:tcPr>
            <w:tcW w:w="1600" w:type="dxa"/>
            <w:shd w:val="clear" w:color="auto" w:fill="2F5496"/>
          </w:tcPr>
          <w:p w14:paraId="5597FB67" w14:textId="77777777" w:rsidR="003100EC" w:rsidRPr="00812257" w:rsidRDefault="00BB09E9">
            <w:pPr>
              <w:rPr>
                <w:color w:val="000000" w:themeColor="text1"/>
              </w:rPr>
            </w:pPr>
            <w:proofErr w:type="spellStart"/>
            <w:r w:rsidRPr="00812257">
              <w:rPr>
                <w:b/>
                <w:bCs/>
                <w:color w:val="000000" w:themeColor="text1"/>
              </w:rPr>
              <w:t>Fcst</w:t>
            </w:r>
            <w:proofErr w:type="spellEnd"/>
            <w:r w:rsidRPr="00812257">
              <w:rPr>
                <w:b/>
                <w:bCs/>
                <w:color w:val="000000" w:themeColor="text1"/>
              </w:rPr>
              <w:t xml:space="preserve"> M3</w:t>
            </w:r>
          </w:p>
        </w:tc>
      </w:tr>
      <w:tr w:rsidR="003100EC" w:rsidRPr="00812257" w14:paraId="5597FB70" w14:textId="77777777">
        <w:tblPrEx>
          <w:tblCellMar>
            <w:top w:w="0" w:type="dxa"/>
            <w:bottom w:w="0" w:type="dxa"/>
          </w:tblCellMar>
        </w:tblPrEx>
        <w:tc>
          <w:tcPr>
            <w:tcW w:w="1800" w:type="dxa"/>
          </w:tcPr>
          <w:p w14:paraId="5597FB69" w14:textId="77777777" w:rsidR="003100EC" w:rsidRPr="00812257" w:rsidRDefault="00BB09E9">
            <w:pPr>
              <w:rPr>
                <w:color w:val="000000" w:themeColor="text1"/>
              </w:rPr>
            </w:pPr>
            <w:r w:rsidRPr="00812257">
              <w:rPr>
                <w:color w:val="000000" w:themeColor="text1"/>
              </w:rPr>
              <w:t>SARIMA (recommended)</w:t>
            </w:r>
          </w:p>
        </w:tc>
        <w:tc>
          <w:tcPr>
            <w:tcW w:w="1500" w:type="dxa"/>
          </w:tcPr>
          <w:p w14:paraId="5597FB6A" w14:textId="77777777" w:rsidR="003100EC" w:rsidRPr="00812257" w:rsidRDefault="00BB09E9">
            <w:pPr>
              <w:rPr>
                <w:color w:val="000000" w:themeColor="text1"/>
              </w:rPr>
            </w:pPr>
            <w:r w:rsidRPr="00812257">
              <w:rPr>
                <w:color w:val="000000" w:themeColor="text1"/>
              </w:rPr>
              <w:t>13,336</w:t>
            </w:r>
          </w:p>
        </w:tc>
        <w:tc>
          <w:tcPr>
            <w:tcW w:w="1500" w:type="dxa"/>
          </w:tcPr>
          <w:p w14:paraId="5597FB6B" w14:textId="77777777" w:rsidR="003100EC" w:rsidRPr="00812257" w:rsidRDefault="00BB09E9">
            <w:pPr>
              <w:rPr>
                <w:color w:val="000000" w:themeColor="text1"/>
              </w:rPr>
            </w:pPr>
            <w:r w:rsidRPr="00812257">
              <w:rPr>
                <w:color w:val="000000" w:themeColor="text1"/>
              </w:rPr>
              <w:t>13,340</w:t>
            </w:r>
          </w:p>
        </w:tc>
        <w:tc>
          <w:tcPr>
            <w:tcW w:w="1500" w:type="dxa"/>
          </w:tcPr>
          <w:p w14:paraId="5597FB6C" w14:textId="77777777" w:rsidR="003100EC" w:rsidRPr="00812257" w:rsidRDefault="00BB09E9">
            <w:pPr>
              <w:rPr>
                <w:color w:val="000000" w:themeColor="text1"/>
              </w:rPr>
            </w:pPr>
            <w:r w:rsidRPr="00812257">
              <w:rPr>
                <w:color w:val="000000" w:themeColor="text1"/>
              </w:rPr>
              <w:t>14.8%</w:t>
            </w:r>
          </w:p>
        </w:tc>
        <w:tc>
          <w:tcPr>
            <w:tcW w:w="1600" w:type="dxa"/>
          </w:tcPr>
          <w:p w14:paraId="5597FB6D" w14:textId="77777777" w:rsidR="003100EC" w:rsidRPr="00812257" w:rsidRDefault="00BB09E9">
            <w:pPr>
              <w:rPr>
                <w:color w:val="000000" w:themeColor="text1"/>
              </w:rPr>
            </w:pPr>
            <w:r w:rsidRPr="00812257">
              <w:rPr>
                <w:color w:val="000000" w:themeColor="text1"/>
              </w:rPr>
              <w:t>64,487</w:t>
            </w:r>
          </w:p>
        </w:tc>
        <w:tc>
          <w:tcPr>
            <w:tcW w:w="1600" w:type="dxa"/>
          </w:tcPr>
          <w:p w14:paraId="5597FB6E" w14:textId="77777777" w:rsidR="003100EC" w:rsidRPr="00812257" w:rsidRDefault="00BB09E9">
            <w:pPr>
              <w:rPr>
                <w:color w:val="000000" w:themeColor="text1"/>
              </w:rPr>
            </w:pPr>
            <w:r w:rsidRPr="00812257">
              <w:rPr>
                <w:color w:val="000000" w:themeColor="text1"/>
              </w:rPr>
              <w:t>104,251</w:t>
            </w:r>
          </w:p>
        </w:tc>
        <w:tc>
          <w:tcPr>
            <w:tcW w:w="1600" w:type="dxa"/>
          </w:tcPr>
          <w:p w14:paraId="5597FB6F" w14:textId="77777777" w:rsidR="003100EC" w:rsidRPr="00812257" w:rsidRDefault="00BB09E9">
            <w:pPr>
              <w:rPr>
                <w:color w:val="000000" w:themeColor="text1"/>
              </w:rPr>
            </w:pPr>
            <w:r w:rsidRPr="00812257">
              <w:rPr>
                <w:color w:val="000000" w:themeColor="text1"/>
              </w:rPr>
              <w:t>96,392</w:t>
            </w:r>
          </w:p>
        </w:tc>
      </w:tr>
      <w:tr w:rsidR="003100EC" w:rsidRPr="00812257" w14:paraId="5597FB78" w14:textId="77777777">
        <w:tblPrEx>
          <w:tblCellMar>
            <w:top w:w="0" w:type="dxa"/>
            <w:bottom w:w="0" w:type="dxa"/>
          </w:tblCellMar>
        </w:tblPrEx>
        <w:tc>
          <w:tcPr>
            <w:tcW w:w="1800" w:type="dxa"/>
          </w:tcPr>
          <w:p w14:paraId="5597FB71" w14:textId="77777777" w:rsidR="003100EC" w:rsidRPr="00812257" w:rsidRDefault="00BB09E9">
            <w:pPr>
              <w:rPr>
                <w:color w:val="000000" w:themeColor="text1"/>
              </w:rPr>
            </w:pPr>
            <w:r w:rsidRPr="00812257">
              <w:rPr>
                <w:color w:val="000000" w:themeColor="text1"/>
              </w:rPr>
              <w:t>Prophet</w:t>
            </w:r>
          </w:p>
        </w:tc>
        <w:tc>
          <w:tcPr>
            <w:tcW w:w="1500" w:type="dxa"/>
          </w:tcPr>
          <w:p w14:paraId="5597FB72" w14:textId="77777777" w:rsidR="003100EC" w:rsidRPr="00812257" w:rsidRDefault="00BB09E9">
            <w:pPr>
              <w:rPr>
                <w:color w:val="000000" w:themeColor="text1"/>
              </w:rPr>
            </w:pPr>
            <w:r w:rsidRPr="00812257">
              <w:rPr>
                <w:color w:val="000000" w:themeColor="text1"/>
              </w:rPr>
              <w:t>20,296</w:t>
            </w:r>
          </w:p>
        </w:tc>
        <w:tc>
          <w:tcPr>
            <w:tcW w:w="1500" w:type="dxa"/>
          </w:tcPr>
          <w:p w14:paraId="5597FB73" w14:textId="77777777" w:rsidR="003100EC" w:rsidRPr="00812257" w:rsidRDefault="00BB09E9">
            <w:pPr>
              <w:rPr>
                <w:color w:val="000000" w:themeColor="text1"/>
              </w:rPr>
            </w:pPr>
            <w:r w:rsidRPr="00812257">
              <w:rPr>
                <w:color w:val="000000" w:themeColor="text1"/>
              </w:rPr>
              <w:t>22,487</w:t>
            </w:r>
          </w:p>
        </w:tc>
        <w:tc>
          <w:tcPr>
            <w:tcW w:w="1500" w:type="dxa"/>
          </w:tcPr>
          <w:p w14:paraId="5597FB74" w14:textId="77777777" w:rsidR="003100EC" w:rsidRPr="00812257" w:rsidRDefault="00BB09E9">
            <w:pPr>
              <w:rPr>
                <w:color w:val="000000" w:themeColor="text1"/>
              </w:rPr>
            </w:pPr>
            <w:r w:rsidRPr="00812257">
              <w:rPr>
                <w:color w:val="000000" w:themeColor="text1"/>
              </w:rPr>
              <w:t>21.9%</w:t>
            </w:r>
          </w:p>
        </w:tc>
        <w:tc>
          <w:tcPr>
            <w:tcW w:w="1600" w:type="dxa"/>
          </w:tcPr>
          <w:p w14:paraId="5597FB75" w14:textId="77777777" w:rsidR="003100EC" w:rsidRPr="00812257" w:rsidRDefault="00BB09E9">
            <w:pPr>
              <w:rPr>
                <w:color w:val="000000" w:themeColor="text1"/>
              </w:rPr>
            </w:pPr>
            <w:r w:rsidRPr="00812257">
              <w:rPr>
                <w:color w:val="000000" w:themeColor="text1"/>
              </w:rPr>
              <w:t>51,084</w:t>
            </w:r>
          </w:p>
        </w:tc>
        <w:tc>
          <w:tcPr>
            <w:tcW w:w="1600" w:type="dxa"/>
          </w:tcPr>
          <w:p w14:paraId="5597FB76" w14:textId="77777777" w:rsidR="003100EC" w:rsidRPr="00812257" w:rsidRDefault="00BB09E9">
            <w:pPr>
              <w:rPr>
                <w:color w:val="000000" w:themeColor="text1"/>
              </w:rPr>
            </w:pPr>
            <w:r w:rsidRPr="00812257">
              <w:rPr>
                <w:color w:val="000000" w:themeColor="text1"/>
              </w:rPr>
              <w:t>90,045</w:t>
            </w:r>
          </w:p>
        </w:tc>
        <w:tc>
          <w:tcPr>
            <w:tcW w:w="1600" w:type="dxa"/>
          </w:tcPr>
          <w:p w14:paraId="5597FB77" w14:textId="77777777" w:rsidR="003100EC" w:rsidRPr="00812257" w:rsidRDefault="00BB09E9">
            <w:pPr>
              <w:rPr>
                <w:color w:val="000000" w:themeColor="text1"/>
              </w:rPr>
            </w:pPr>
            <w:r w:rsidRPr="00812257">
              <w:rPr>
                <w:color w:val="000000" w:themeColor="text1"/>
              </w:rPr>
              <w:t>89,661</w:t>
            </w:r>
          </w:p>
        </w:tc>
      </w:tr>
      <w:tr w:rsidR="003100EC" w:rsidRPr="00812257" w14:paraId="5597FB80" w14:textId="77777777">
        <w:tblPrEx>
          <w:tblCellMar>
            <w:top w:w="0" w:type="dxa"/>
            <w:bottom w:w="0" w:type="dxa"/>
          </w:tblCellMar>
        </w:tblPrEx>
        <w:tc>
          <w:tcPr>
            <w:tcW w:w="1800" w:type="dxa"/>
          </w:tcPr>
          <w:p w14:paraId="5597FB79" w14:textId="77777777" w:rsidR="003100EC" w:rsidRPr="00812257" w:rsidRDefault="00BB09E9">
            <w:pPr>
              <w:rPr>
                <w:color w:val="000000" w:themeColor="text1"/>
              </w:rPr>
            </w:pPr>
            <w:proofErr w:type="spellStart"/>
            <w:r w:rsidRPr="00812257">
              <w:rPr>
                <w:color w:val="000000" w:themeColor="text1"/>
              </w:rPr>
              <w:t>XGBoost</w:t>
            </w:r>
            <w:proofErr w:type="spellEnd"/>
          </w:p>
        </w:tc>
        <w:tc>
          <w:tcPr>
            <w:tcW w:w="1500" w:type="dxa"/>
          </w:tcPr>
          <w:p w14:paraId="5597FB7A" w14:textId="77777777" w:rsidR="003100EC" w:rsidRPr="00812257" w:rsidRDefault="00BB09E9">
            <w:pPr>
              <w:rPr>
                <w:color w:val="000000" w:themeColor="text1"/>
              </w:rPr>
            </w:pPr>
            <w:r w:rsidRPr="00812257">
              <w:rPr>
                <w:color w:val="000000" w:themeColor="text1"/>
              </w:rPr>
              <w:t>23,835</w:t>
            </w:r>
          </w:p>
        </w:tc>
        <w:tc>
          <w:tcPr>
            <w:tcW w:w="1500" w:type="dxa"/>
          </w:tcPr>
          <w:p w14:paraId="5597FB7B" w14:textId="77777777" w:rsidR="003100EC" w:rsidRPr="00812257" w:rsidRDefault="00BB09E9">
            <w:pPr>
              <w:rPr>
                <w:color w:val="000000" w:themeColor="text1"/>
              </w:rPr>
            </w:pPr>
            <w:r w:rsidRPr="00812257">
              <w:rPr>
                <w:color w:val="000000" w:themeColor="text1"/>
              </w:rPr>
              <w:t>29,464</w:t>
            </w:r>
          </w:p>
        </w:tc>
        <w:tc>
          <w:tcPr>
            <w:tcW w:w="1500" w:type="dxa"/>
          </w:tcPr>
          <w:p w14:paraId="5597FB7C" w14:textId="77777777" w:rsidR="003100EC" w:rsidRPr="00812257" w:rsidRDefault="00BB09E9">
            <w:pPr>
              <w:rPr>
                <w:color w:val="000000" w:themeColor="text1"/>
              </w:rPr>
            </w:pPr>
            <w:r w:rsidRPr="00812257">
              <w:rPr>
                <w:color w:val="000000" w:themeColor="text1"/>
              </w:rPr>
              <w:t>23.3%</w:t>
            </w:r>
          </w:p>
        </w:tc>
        <w:tc>
          <w:tcPr>
            <w:tcW w:w="1600" w:type="dxa"/>
          </w:tcPr>
          <w:p w14:paraId="5597FB7D" w14:textId="77777777" w:rsidR="003100EC" w:rsidRPr="00812257" w:rsidRDefault="00BB09E9">
            <w:pPr>
              <w:rPr>
                <w:color w:val="000000" w:themeColor="text1"/>
              </w:rPr>
            </w:pPr>
            <w:r w:rsidRPr="00812257">
              <w:rPr>
                <w:color w:val="000000" w:themeColor="text1"/>
              </w:rPr>
              <w:t>66,635</w:t>
            </w:r>
          </w:p>
        </w:tc>
        <w:tc>
          <w:tcPr>
            <w:tcW w:w="1600" w:type="dxa"/>
          </w:tcPr>
          <w:p w14:paraId="5597FB7E" w14:textId="77777777" w:rsidR="003100EC" w:rsidRPr="00812257" w:rsidRDefault="00BB09E9">
            <w:pPr>
              <w:rPr>
                <w:color w:val="000000" w:themeColor="text1"/>
              </w:rPr>
            </w:pPr>
            <w:r w:rsidRPr="00812257">
              <w:rPr>
                <w:color w:val="000000" w:themeColor="text1"/>
              </w:rPr>
              <w:t>69,623</w:t>
            </w:r>
          </w:p>
        </w:tc>
        <w:tc>
          <w:tcPr>
            <w:tcW w:w="1600" w:type="dxa"/>
          </w:tcPr>
          <w:p w14:paraId="5597FB7F" w14:textId="77777777" w:rsidR="003100EC" w:rsidRPr="00812257" w:rsidRDefault="00BB09E9">
            <w:pPr>
              <w:rPr>
                <w:color w:val="000000" w:themeColor="text1"/>
              </w:rPr>
            </w:pPr>
            <w:r w:rsidRPr="00812257">
              <w:rPr>
                <w:color w:val="000000" w:themeColor="text1"/>
              </w:rPr>
              <w:t>70,652</w:t>
            </w:r>
          </w:p>
        </w:tc>
      </w:tr>
    </w:tbl>
    <w:p w14:paraId="5597FB81" w14:textId="77777777" w:rsidR="003100EC" w:rsidRPr="00812257" w:rsidRDefault="003100EC">
      <w:pPr>
        <w:spacing w:after="200"/>
        <w:rPr>
          <w:color w:val="000000" w:themeColor="text1"/>
        </w:rPr>
      </w:pPr>
    </w:p>
    <w:p w14:paraId="5597FB82" w14:textId="77777777" w:rsidR="003100EC" w:rsidRPr="00812257" w:rsidRDefault="00BB09E9">
      <w:pPr>
        <w:spacing w:after="120"/>
        <w:rPr>
          <w:color w:val="000000" w:themeColor="text1"/>
        </w:rPr>
      </w:pPr>
      <w:r w:rsidRPr="00812257">
        <w:rPr>
          <w:color w:val="000000" w:themeColor="text1"/>
        </w:rPr>
        <w:t xml:space="preserve">In plain terms: SARIMA was the most accurate of the three, missing actual sales by roughly $13,300 per month on average (about 15%) versus $20,300-$23,800 per month for Prophet and </w:t>
      </w:r>
      <w:proofErr w:type="spellStart"/>
      <w:r w:rsidRPr="00812257">
        <w:rPr>
          <w:color w:val="000000" w:themeColor="text1"/>
        </w:rPr>
        <w:t>XGBoost</w:t>
      </w:r>
      <w:proofErr w:type="spellEnd"/>
      <w:r w:rsidRPr="00812257">
        <w:rPr>
          <w:color w:val="000000" w:themeColor="text1"/>
        </w:rPr>
        <w:t xml:space="preserve">. Its forecast puts month-1 sales at roughly $64,500, month-2 at roughly $104,300, and month-3 at roughly $96,400 — consistent with the strong seasonal upswing already visible in the historical data. Prophet and </w:t>
      </w:r>
      <w:proofErr w:type="spellStart"/>
      <w:r w:rsidRPr="00812257">
        <w:rPr>
          <w:color w:val="000000" w:themeColor="text1"/>
        </w:rPr>
        <w:t>XGBoost</w:t>
      </w:r>
      <w:proofErr w:type="spellEnd"/>
      <w:r w:rsidRPr="00812257">
        <w:rPr>
          <w:color w:val="000000" w:themeColor="text1"/>
        </w:rPr>
        <w:t xml:space="preserve"> remain useful as cross-checks (trend/seasonality breakdown and non-linear feature interactions respectively) even though SARIMA was chosen as the primary model here.</w:t>
      </w:r>
    </w:p>
    <w:p w14:paraId="5597FB83" w14:textId="77777777" w:rsidR="003100EC" w:rsidRPr="00812257" w:rsidRDefault="00BB09E9">
      <w:pPr>
        <w:pStyle w:val="Heading1"/>
        <w:spacing w:before="200" w:after="100"/>
        <w:rPr>
          <w:color w:val="000000" w:themeColor="text1"/>
        </w:rPr>
      </w:pPr>
      <w:r w:rsidRPr="00812257">
        <w:rPr>
          <w:color w:val="000000" w:themeColor="text1"/>
        </w:rPr>
        <w:t>Top Anomalies Detected</w:t>
      </w:r>
    </w:p>
    <w:p w14:paraId="5597FB84" w14:textId="77777777" w:rsidR="003100EC" w:rsidRPr="00812257" w:rsidRDefault="00BB09E9">
      <w:pPr>
        <w:spacing w:after="120"/>
        <w:rPr>
          <w:color w:val="000000" w:themeColor="text1"/>
        </w:rPr>
      </w:pPr>
      <w:r w:rsidRPr="00812257">
        <w:rPr>
          <w:color w:val="000000" w:themeColor="text1"/>
        </w:rPr>
        <w:t>Two independent statistical methods (Isolation Forest and rolling Z-score) were run on weekly sales. The weeks below were among the most unusual identified, with the highest confidence placed on the one week both methods agreed 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5100"/>
      </w:tblGrid>
      <w:tr w:rsidR="003100EC" w:rsidRPr="00812257" w14:paraId="5597FB88" w14:textId="77777777">
        <w:tblPrEx>
          <w:tblCellMar>
            <w:top w:w="0" w:type="dxa"/>
            <w:bottom w:w="0" w:type="dxa"/>
          </w:tblCellMar>
        </w:tblPrEx>
        <w:tc>
          <w:tcPr>
            <w:tcW w:w="2200" w:type="dxa"/>
            <w:shd w:val="clear" w:color="auto" w:fill="2F5496"/>
          </w:tcPr>
          <w:p w14:paraId="5597FB85" w14:textId="77777777" w:rsidR="003100EC" w:rsidRPr="00812257" w:rsidRDefault="00BB09E9">
            <w:pPr>
              <w:rPr>
                <w:color w:val="000000" w:themeColor="text1"/>
              </w:rPr>
            </w:pPr>
            <w:r w:rsidRPr="00812257">
              <w:rPr>
                <w:b/>
                <w:bCs/>
                <w:color w:val="000000" w:themeColor="text1"/>
              </w:rPr>
              <w:t>Week Of</w:t>
            </w:r>
          </w:p>
        </w:tc>
        <w:tc>
          <w:tcPr>
            <w:tcW w:w="2200" w:type="dxa"/>
            <w:shd w:val="clear" w:color="auto" w:fill="2F5496"/>
          </w:tcPr>
          <w:p w14:paraId="5597FB86" w14:textId="77777777" w:rsidR="003100EC" w:rsidRPr="00812257" w:rsidRDefault="00BB09E9">
            <w:pPr>
              <w:rPr>
                <w:color w:val="000000" w:themeColor="text1"/>
              </w:rPr>
            </w:pPr>
            <w:r w:rsidRPr="00812257">
              <w:rPr>
                <w:b/>
                <w:bCs/>
                <w:color w:val="000000" w:themeColor="text1"/>
              </w:rPr>
              <w:t>Sales</w:t>
            </w:r>
          </w:p>
        </w:tc>
        <w:tc>
          <w:tcPr>
            <w:tcW w:w="5100" w:type="dxa"/>
            <w:shd w:val="clear" w:color="auto" w:fill="2F5496"/>
          </w:tcPr>
          <w:p w14:paraId="5597FB87" w14:textId="77777777" w:rsidR="003100EC" w:rsidRPr="00812257" w:rsidRDefault="00BB09E9">
            <w:pPr>
              <w:rPr>
                <w:color w:val="000000" w:themeColor="text1"/>
              </w:rPr>
            </w:pPr>
            <w:r w:rsidRPr="00812257">
              <w:rPr>
                <w:b/>
                <w:bCs/>
                <w:color w:val="000000" w:themeColor="text1"/>
              </w:rPr>
              <w:t>Likely Cause</w:t>
            </w:r>
          </w:p>
        </w:tc>
      </w:tr>
      <w:tr w:rsidR="003100EC" w:rsidRPr="00812257" w14:paraId="5597FB8C" w14:textId="77777777">
        <w:tblPrEx>
          <w:tblCellMar>
            <w:top w:w="0" w:type="dxa"/>
            <w:bottom w:w="0" w:type="dxa"/>
          </w:tblCellMar>
        </w:tblPrEx>
        <w:tc>
          <w:tcPr>
            <w:tcW w:w="2200" w:type="dxa"/>
          </w:tcPr>
          <w:p w14:paraId="5597FB89" w14:textId="77777777" w:rsidR="003100EC" w:rsidRPr="00812257" w:rsidRDefault="00BB09E9">
            <w:pPr>
              <w:rPr>
                <w:color w:val="000000" w:themeColor="text1"/>
              </w:rPr>
            </w:pPr>
            <w:r w:rsidRPr="00812257">
              <w:rPr>
                <w:color w:val="000000" w:themeColor="text1"/>
              </w:rPr>
              <w:t>Mar 22, 2015</w:t>
            </w:r>
          </w:p>
        </w:tc>
        <w:tc>
          <w:tcPr>
            <w:tcW w:w="2200" w:type="dxa"/>
          </w:tcPr>
          <w:p w14:paraId="5597FB8A" w14:textId="77777777" w:rsidR="003100EC" w:rsidRPr="00812257" w:rsidRDefault="00BB09E9">
            <w:pPr>
              <w:rPr>
                <w:color w:val="000000" w:themeColor="text1"/>
              </w:rPr>
            </w:pPr>
            <w:r w:rsidRPr="00812257">
              <w:rPr>
                <w:color w:val="000000" w:themeColor="text1"/>
              </w:rPr>
              <w:t>$37,704 (spike)</w:t>
            </w:r>
          </w:p>
        </w:tc>
        <w:tc>
          <w:tcPr>
            <w:tcW w:w="5100" w:type="dxa"/>
          </w:tcPr>
          <w:p w14:paraId="5597FB8B" w14:textId="77777777" w:rsidR="003100EC" w:rsidRPr="00812257" w:rsidRDefault="00BB09E9">
            <w:pPr>
              <w:rPr>
                <w:color w:val="000000" w:themeColor="text1"/>
              </w:rPr>
            </w:pPr>
            <w:r w:rsidRPr="00812257">
              <w:rPr>
                <w:color w:val="000000" w:themeColor="text1"/>
              </w:rPr>
              <w:t>Largest single-week spike in the data; flagged by both detection methods — likely a quarter-end promotional push.</w:t>
            </w:r>
          </w:p>
        </w:tc>
      </w:tr>
      <w:tr w:rsidR="003100EC" w:rsidRPr="00812257" w14:paraId="5597FB90" w14:textId="77777777">
        <w:tblPrEx>
          <w:tblCellMar>
            <w:top w:w="0" w:type="dxa"/>
            <w:bottom w:w="0" w:type="dxa"/>
          </w:tblCellMar>
        </w:tblPrEx>
        <w:tc>
          <w:tcPr>
            <w:tcW w:w="2200" w:type="dxa"/>
          </w:tcPr>
          <w:p w14:paraId="5597FB8D" w14:textId="77777777" w:rsidR="003100EC" w:rsidRPr="00812257" w:rsidRDefault="00BB09E9">
            <w:pPr>
              <w:rPr>
                <w:color w:val="000000" w:themeColor="text1"/>
              </w:rPr>
            </w:pPr>
            <w:r w:rsidRPr="00812257">
              <w:rPr>
                <w:color w:val="000000" w:themeColor="text1"/>
              </w:rPr>
              <w:t>Dec 2, 2018</w:t>
            </w:r>
          </w:p>
        </w:tc>
        <w:tc>
          <w:tcPr>
            <w:tcW w:w="2200" w:type="dxa"/>
          </w:tcPr>
          <w:p w14:paraId="5597FB8E" w14:textId="77777777" w:rsidR="003100EC" w:rsidRPr="00812257" w:rsidRDefault="00BB09E9">
            <w:pPr>
              <w:rPr>
                <w:color w:val="000000" w:themeColor="text1"/>
              </w:rPr>
            </w:pPr>
            <w:r w:rsidRPr="00812257">
              <w:rPr>
                <w:color w:val="000000" w:themeColor="text1"/>
              </w:rPr>
              <w:t>$35,999 (spike)</w:t>
            </w:r>
          </w:p>
        </w:tc>
        <w:tc>
          <w:tcPr>
            <w:tcW w:w="5100" w:type="dxa"/>
          </w:tcPr>
          <w:p w14:paraId="5597FB8F" w14:textId="77777777" w:rsidR="003100EC" w:rsidRPr="00812257" w:rsidRDefault="00BB09E9">
            <w:pPr>
              <w:rPr>
                <w:color w:val="000000" w:themeColor="text1"/>
              </w:rPr>
            </w:pPr>
            <w:r w:rsidRPr="00812257">
              <w:rPr>
                <w:color w:val="000000" w:themeColor="text1"/>
              </w:rPr>
              <w:t>Part of a run of three high-sales weeks in Nov/Dec 2018 — consistent with Black Friday/Cyber Monday and year-end holiday demand.</w:t>
            </w:r>
          </w:p>
        </w:tc>
      </w:tr>
      <w:tr w:rsidR="003100EC" w:rsidRPr="00812257" w14:paraId="5597FB94" w14:textId="77777777">
        <w:tblPrEx>
          <w:tblCellMar>
            <w:top w:w="0" w:type="dxa"/>
            <w:bottom w:w="0" w:type="dxa"/>
          </w:tblCellMar>
        </w:tblPrEx>
        <w:tc>
          <w:tcPr>
            <w:tcW w:w="2200" w:type="dxa"/>
          </w:tcPr>
          <w:p w14:paraId="5597FB91" w14:textId="77777777" w:rsidR="003100EC" w:rsidRPr="00812257" w:rsidRDefault="00BB09E9">
            <w:pPr>
              <w:rPr>
                <w:color w:val="000000" w:themeColor="text1"/>
              </w:rPr>
            </w:pPr>
            <w:r w:rsidRPr="00812257">
              <w:rPr>
                <w:color w:val="000000" w:themeColor="text1"/>
              </w:rPr>
              <w:lastRenderedPageBreak/>
              <w:t>Jan 4, 2015 / Jan 24, 2016</w:t>
            </w:r>
          </w:p>
        </w:tc>
        <w:tc>
          <w:tcPr>
            <w:tcW w:w="2200" w:type="dxa"/>
          </w:tcPr>
          <w:p w14:paraId="5597FB92" w14:textId="77777777" w:rsidR="003100EC" w:rsidRPr="00812257" w:rsidRDefault="00BB09E9">
            <w:pPr>
              <w:rPr>
                <w:color w:val="000000" w:themeColor="text1"/>
              </w:rPr>
            </w:pPr>
            <w:r w:rsidRPr="00812257">
              <w:rPr>
                <w:color w:val="000000" w:themeColor="text1"/>
              </w:rPr>
              <w:t>~$300-$360 (drop)</w:t>
            </w:r>
          </w:p>
        </w:tc>
        <w:tc>
          <w:tcPr>
            <w:tcW w:w="5100" w:type="dxa"/>
          </w:tcPr>
          <w:p w14:paraId="5597FB93" w14:textId="77777777" w:rsidR="003100EC" w:rsidRPr="00812257" w:rsidRDefault="00BB09E9">
            <w:pPr>
              <w:rPr>
                <w:color w:val="000000" w:themeColor="text1"/>
              </w:rPr>
            </w:pPr>
            <w:r w:rsidRPr="00812257">
              <w:rPr>
                <w:color w:val="000000" w:themeColor="text1"/>
              </w:rPr>
              <w:t>Very low sales immediately after New Year's — the classic post-holiday demand lull, recurring across multiple years.</w:t>
            </w:r>
          </w:p>
        </w:tc>
      </w:tr>
    </w:tbl>
    <w:p w14:paraId="5597FB95" w14:textId="77777777" w:rsidR="003100EC" w:rsidRPr="00812257" w:rsidRDefault="003100EC">
      <w:pPr>
        <w:spacing w:after="200"/>
        <w:rPr>
          <w:color w:val="000000" w:themeColor="text1"/>
        </w:rPr>
      </w:pPr>
    </w:p>
    <w:p w14:paraId="5597FB96" w14:textId="77777777" w:rsidR="003100EC" w:rsidRPr="00812257" w:rsidRDefault="00BB09E9">
      <w:pPr>
        <w:spacing w:after="120"/>
        <w:rPr>
          <w:color w:val="000000" w:themeColor="text1"/>
        </w:rPr>
      </w:pPr>
      <w:r w:rsidRPr="00812257">
        <w:rPr>
          <w:color w:val="000000" w:themeColor="text1"/>
        </w:rPr>
        <w:t>Overall, the two detection methods agreed on only the single most extreme week and otherwise disagreed on the rest — a healthy sign that neither method alone should be treated as the single source of truth for triggering inventory action; the two together give a more complete picture than either alone.</w:t>
      </w:r>
    </w:p>
    <w:p w14:paraId="5597FB97" w14:textId="77777777" w:rsidR="003100EC" w:rsidRPr="00812257" w:rsidRDefault="00BB09E9">
      <w:pPr>
        <w:pStyle w:val="Heading1"/>
        <w:spacing w:before="200" w:after="100"/>
        <w:rPr>
          <w:color w:val="000000" w:themeColor="text1"/>
        </w:rPr>
      </w:pPr>
      <w:r w:rsidRPr="00812257">
        <w:rPr>
          <w:color w:val="000000" w:themeColor="text1"/>
        </w:rPr>
        <w:t>Product Demand Segmentation</w:t>
      </w:r>
    </w:p>
    <w:p w14:paraId="5597FB98" w14:textId="77777777" w:rsidR="003100EC" w:rsidRPr="00812257" w:rsidRDefault="00BB09E9">
      <w:pPr>
        <w:spacing w:after="120"/>
        <w:rPr>
          <w:color w:val="000000" w:themeColor="text1"/>
        </w:rPr>
      </w:pPr>
      <w:r w:rsidRPr="00812257">
        <w:rPr>
          <w:color w:val="000000" w:themeColor="text1"/>
        </w:rPr>
        <w:t>Every product sub-category was scored on total sales volume, year-over-year growth rate, month-to-month volatility, and average order value, then grouped into four demand clusters using K-Means (cluster count chosen via the elbow method). Notably, every sub-category grew year-over-year in this data — none is in outright decline — so the fourth cluster below reflects the slowest-growing group relative to the others, not an actual downturn.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900"/>
      </w:tblGrid>
      <w:tr w:rsidR="003100EC" w:rsidRPr="00812257" w14:paraId="5597FB9B" w14:textId="77777777">
        <w:tblPrEx>
          <w:tblCellMar>
            <w:top w:w="0" w:type="dxa"/>
            <w:bottom w:w="0" w:type="dxa"/>
          </w:tblCellMar>
        </w:tblPrEx>
        <w:tc>
          <w:tcPr>
            <w:tcW w:w="3600" w:type="dxa"/>
            <w:shd w:val="clear" w:color="auto" w:fill="2F5496"/>
          </w:tcPr>
          <w:p w14:paraId="5597FB99" w14:textId="77777777" w:rsidR="003100EC" w:rsidRPr="00812257" w:rsidRDefault="00BB09E9">
            <w:pPr>
              <w:rPr>
                <w:color w:val="000000" w:themeColor="text1"/>
              </w:rPr>
            </w:pPr>
            <w:r w:rsidRPr="00812257">
              <w:rPr>
                <w:b/>
                <w:bCs/>
                <w:color w:val="000000" w:themeColor="text1"/>
              </w:rPr>
              <w:t>Cluster</w:t>
            </w:r>
          </w:p>
        </w:tc>
        <w:tc>
          <w:tcPr>
            <w:tcW w:w="5900" w:type="dxa"/>
            <w:shd w:val="clear" w:color="auto" w:fill="2F5496"/>
          </w:tcPr>
          <w:p w14:paraId="5597FB9A" w14:textId="77777777" w:rsidR="003100EC" w:rsidRPr="00812257" w:rsidRDefault="00BB09E9">
            <w:pPr>
              <w:rPr>
                <w:color w:val="000000" w:themeColor="text1"/>
              </w:rPr>
            </w:pPr>
            <w:r w:rsidRPr="00812257">
              <w:rPr>
                <w:b/>
                <w:bCs/>
                <w:color w:val="000000" w:themeColor="text1"/>
              </w:rPr>
              <w:t>Recommended Stocking Strategy</w:t>
            </w:r>
          </w:p>
        </w:tc>
      </w:tr>
      <w:tr w:rsidR="003100EC" w:rsidRPr="00812257" w14:paraId="5597FB9E" w14:textId="77777777">
        <w:tblPrEx>
          <w:tblCellMar>
            <w:top w:w="0" w:type="dxa"/>
            <w:bottom w:w="0" w:type="dxa"/>
          </w:tblCellMar>
        </w:tblPrEx>
        <w:tc>
          <w:tcPr>
            <w:tcW w:w="3600" w:type="dxa"/>
          </w:tcPr>
          <w:p w14:paraId="5597FB9C" w14:textId="77777777" w:rsidR="003100EC" w:rsidRPr="00812257" w:rsidRDefault="00BB09E9">
            <w:pPr>
              <w:rPr>
                <w:color w:val="000000" w:themeColor="text1"/>
              </w:rPr>
            </w:pPr>
            <w:r w:rsidRPr="00812257">
              <w:rPr>
                <w:color w:val="000000" w:themeColor="text1"/>
              </w:rPr>
              <w:t>High Volume, Stable Demand</w:t>
            </w:r>
          </w:p>
        </w:tc>
        <w:tc>
          <w:tcPr>
            <w:tcW w:w="5900" w:type="dxa"/>
          </w:tcPr>
          <w:p w14:paraId="5597FB9D" w14:textId="77777777" w:rsidR="003100EC" w:rsidRPr="00812257" w:rsidRDefault="00BB09E9">
            <w:pPr>
              <w:rPr>
                <w:color w:val="000000" w:themeColor="text1"/>
              </w:rPr>
            </w:pPr>
            <w:r w:rsidRPr="00812257">
              <w:rPr>
                <w:color w:val="000000" w:themeColor="text1"/>
              </w:rPr>
              <w:t>Keep steady safety stock; reorder on a fixed schedule. Lowest forecasting risk. (e.g. Bookcases, Paper, Furnishings)</w:t>
            </w:r>
          </w:p>
        </w:tc>
      </w:tr>
      <w:tr w:rsidR="003100EC" w:rsidRPr="00812257" w14:paraId="5597FBA1" w14:textId="77777777">
        <w:tblPrEx>
          <w:tblCellMar>
            <w:top w:w="0" w:type="dxa"/>
            <w:bottom w:w="0" w:type="dxa"/>
          </w:tblCellMar>
        </w:tblPrEx>
        <w:tc>
          <w:tcPr>
            <w:tcW w:w="3600" w:type="dxa"/>
          </w:tcPr>
          <w:p w14:paraId="5597FB9F" w14:textId="77777777" w:rsidR="003100EC" w:rsidRPr="00812257" w:rsidRDefault="00BB09E9">
            <w:pPr>
              <w:rPr>
                <w:color w:val="000000" w:themeColor="text1"/>
              </w:rPr>
            </w:pPr>
            <w:r w:rsidRPr="00812257">
              <w:rPr>
                <w:color w:val="000000" w:themeColor="text1"/>
              </w:rPr>
              <w:t>Growing Demand</w:t>
            </w:r>
          </w:p>
        </w:tc>
        <w:tc>
          <w:tcPr>
            <w:tcW w:w="5900" w:type="dxa"/>
          </w:tcPr>
          <w:p w14:paraId="5597FBA0" w14:textId="77777777" w:rsidR="003100EC" w:rsidRPr="00812257" w:rsidRDefault="00BB09E9">
            <w:pPr>
              <w:rPr>
                <w:color w:val="000000" w:themeColor="text1"/>
              </w:rPr>
            </w:pPr>
            <w:r w:rsidRPr="00812257">
              <w:rPr>
                <w:color w:val="000000" w:themeColor="text1"/>
              </w:rPr>
              <w:t>Increase reorder quantities ahead of trend; monitor weekly to avoid stockouts. (e.g. Supplies)</w:t>
            </w:r>
          </w:p>
        </w:tc>
      </w:tr>
      <w:tr w:rsidR="003100EC" w:rsidRPr="00812257" w14:paraId="5597FBA4" w14:textId="77777777">
        <w:tblPrEx>
          <w:tblCellMar>
            <w:top w:w="0" w:type="dxa"/>
            <w:bottom w:w="0" w:type="dxa"/>
          </w:tblCellMar>
        </w:tblPrEx>
        <w:tc>
          <w:tcPr>
            <w:tcW w:w="3600" w:type="dxa"/>
          </w:tcPr>
          <w:p w14:paraId="5597FBA2" w14:textId="77777777" w:rsidR="003100EC" w:rsidRPr="00812257" w:rsidRDefault="00BB09E9">
            <w:pPr>
              <w:rPr>
                <w:color w:val="000000" w:themeColor="text1"/>
              </w:rPr>
            </w:pPr>
            <w:r w:rsidRPr="00812257">
              <w:rPr>
                <w:color w:val="000000" w:themeColor="text1"/>
              </w:rPr>
              <w:t>Slower, Steadier Demand</w:t>
            </w:r>
          </w:p>
        </w:tc>
        <w:tc>
          <w:tcPr>
            <w:tcW w:w="5900" w:type="dxa"/>
          </w:tcPr>
          <w:p w14:paraId="5597FBA3" w14:textId="77777777" w:rsidR="003100EC" w:rsidRPr="00812257" w:rsidRDefault="00BB09E9">
            <w:pPr>
              <w:rPr>
                <w:color w:val="000000" w:themeColor="text1"/>
              </w:rPr>
            </w:pPr>
            <w:r w:rsidRPr="00812257">
              <w:rPr>
                <w:color w:val="000000" w:themeColor="text1"/>
              </w:rPr>
              <w:t>Still growing, just the least quickly of the four groups — maintain current order volumes, revisit if growth turns negative. (e.g. Chairs, Phones, Tables)</w:t>
            </w:r>
          </w:p>
        </w:tc>
      </w:tr>
      <w:tr w:rsidR="003100EC" w:rsidRPr="00812257" w14:paraId="5597FBA7" w14:textId="77777777">
        <w:tblPrEx>
          <w:tblCellMar>
            <w:top w:w="0" w:type="dxa"/>
            <w:bottom w:w="0" w:type="dxa"/>
          </w:tblCellMar>
        </w:tblPrEx>
        <w:tc>
          <w:tcPr>
            <w:tcW w:w="3600" w:type="dxa"/>
          </w:tcPr>
          <w:p w14:paraId="5597FBA5" w14:textId="77777777" w:rsidR="003100EC" w:rsidRPr="00812257" w:rsidRDefault="00BB09E9">
            <w:pPr>
              <w:rPr>
                <w:color w:val="000000" w:themeColor="text1"/>
              </w:rPr>
            </w:pPr>
            <w:r w:rsidRPr="00812257">
              <w:rPr>
                <w:color w:val="000000" w:themeColor="text1"/>
              </w:rPr>
              <w:t>Low Volume, High Volatility</w:t>
            </w:r>
          </w:p>
        </w:tc>
        <w:tc>
          <w:tcPr>
            <w:tcW w:w="5900" w:type="dxa"/>
          </w:tcPr>
          <w:p w14:paraId="5597FBA6" w14:textId="77777777" w:rsidR="003100EC" w:rsidRPr="00812257" w:rsidRDefault="00BB09E9">
            <w:pPr>
              <w:rPr>
                <w:color w:val="000000" w:themeColor="text1"/>
              </w:rPr>
            </w:pPr>
            <w:r w:rsidRPr="00812257">
              <w:rPr>
                <w:color w:val="000000" w:themeColor="text1"/>
              </w:rPr>
              <w:t>Keep lean stock; use faster, smaller replenishment cycles instead of bulk orders. (e.g. Copiers, Machines)</w:t>
            </w:r>
          </w:p>
        </w:tc>
      </w:tr>
    </w:tbl>
    <w:p w14:paraId="5597FBA8" w14:textId="77777777" w:rsidR="003100EC" w:rsidRPr="00812257" w:rsidRDefault="00BB09E9">
      <w:pPr>
        <w:pStyle w:val="Heading1"/>
        <w:spacing w:before="200" w:after="100"/>
        <w:rPr>
          <w:color w:val="000000" w:themeColor="text1"/>
        </w:rPr>
      </w:pPr>
      <w:r w:rsidRPr="00812257">
        <w:rPr>
          <w:color w:val="000000" w:themeColor="text1"/>
        </w:rPr>
        <w:t>Business Recommendations</w:t>
      </w:r>
    </w:p>
    <w:p w14:paraId="5597FBA9" w14:textId="77777777" w:rsidR="003100EC" w:rsidRPr="00812257" w:rsidRDefault="00BB09E9">
      <w:pPr>
        <w:pStyle w:val="ListParagraph"/>
        <w:numPr>
          <w:ilvl w:val="0"/>
          <w:numId w:val="1"/>
        </w:numPr>
        <w:spacing w:after="60"/>
        <w:rPr>
          <w:color w:val="000000" w:themeColor="text1"/>
        </w:rPr>
      </w:pPr>
      <w:r w:rsidRPr="00812257">
        <w:rPr>
          <w:color w:val="000000" w:themeColor="text1"/>
        </w:rPr>
        <w:t>1. Adopt the SARIMA forecast as the primary planning input for the next ordering cycle, since it cut forecast error by roughly 35-45% versus the alternative models on recent data — this directly reduces both overstock and stockout risk.</w:t>
      </w:r>
    </w:p>
    <w:p w14:paraId="5597FBAA" w14:textId="77777777" w:rsidR="003100EC" w:rsidRPr="00812257" w:rsidRDefault="00BB09E9">
      <w:pPr>
        <w:pStyle w:val="ListParagraph"/>
        <w:numPr>
          <w:ilvl w:val="0"/>
          <w:numId w:val="1"/>
        </w:numPr>
        <w:spacing w:after="60"/>
        <w:rPr>
          <w:color w:val="000000" w:themeColor="text1"/>
        </w:rPr>
      </w:pPr>
      <w:r w:rsidRPr="00812257">
        <w:rPr>
          <w:color w:val="000000" w:themeColor="text1"/>
        </w:rPr>
        <w:t>2. Pre-position extra safety stock ahead of the recurring Nov/Dec holiday-season spike and build in leaner staffing/ordering for the early-January and late-February post-holiday lull identified in the anomaly report, rather than reacting after each shift starts.</w:t>
      </w:r>
    </w:p>
    <w:p w14:paraId="5597FBAB" w14:textId="77777777" w:rsidR="003100EC" w:rsidRPr="00812257" w:rsidRDefault="00BB09E9">
      <w:pPr>
        <w:pStyle w:val="ListParagraph"/>
        <w:numPr>
          <w:ilvl w:val="0"/>
          <w:numId w:val="1"/>
        </w:numPr>
        <w:spacing w:after="60"/>
        <w:rPr>
          <w:color w:val="000000" w:themeColor="text1"/>
        </w:rPr>
      </w:pPr>
      <w:r w:rsidRPr="00812257">
        <w:rPr>
          <w:color w:val="000000" w:themeColor="text1"/>
        </w:rPr>
        <w:t>3. Apply differentiated stocking policies by cluster instead of a one-size-fits-all reorder rule: tighten stock and shorten replenishment cycles for the 'Low Volume, High Volatility' group (Copiers, Machines), and proactively scale up orders for the 'Growing Demand' cluster (Supplies) before it stocks out.</w:t>
      </w:r>
    </w:p>
    <w:p w14:paraId="5597FBAC" w14:textId="77777777" w:rsidR="003100EC" w:rsidRPr="00812257" w:rsidRDefault="00BB09E9">
      <w:pPr>
        <w:pStyle w:val="Heading1"/>
        <w:spacing w:before="200" w:after="100"/>
        <w:rPr>
          <w:color w:val="000000" w:themeColor="text1"/>
        </w:rPr>
      </w:pPr>
      <w:r w:rsidRPr="00812257">
        <w:rPr>
          <w:color w:val="000000" w:themeColor="text1"/>
        </w:rPr>
        <w:t>Risks &amp; Limitations</w:t>
      </w:r>
    </w:p>
    <w:p w14:paraId="5597FBAD" w14:textId="77777777" w:rsidR="003100EC" w:rsidRPr="00812257" w:rsidRDefault="00BB09E9">
      <w:pPr>
        <w:spacing w:after="120"/>
        <w:rPr>
          <w:color w:val="000000" w:themeColor="text1"/>
        </w:rPr>
      </w:pPr>
      <w:r w:rsidRPr="00812257">
        <w:rPr>
          <w:color w:val="000000" w:themeColor="text1"/>
        </w:rPr>
        <w:t>This system was built and validated on historical patterns; it will not automatically anticipate one-off shocks it hasn't seen before — a sudden supply disruption, a new competitor, or an unprecedented promotional event could all cause actual sales to diverge meaningfully from the forecast. Forecast accuracy should be re-checked every month as new actuals come in, and the model should be retrained periodically (e.g., quarterly) rather than treated as a fixed, one-time output.</w:t>
      </w:r>
    </w:p>
    <w:p w14:paraId="5597FBAE" w14:textId="77777777" w:rsidR="003100EC" w:rsidRPr="00812257" w:rsidRDefault="003100EC">
      <w:pPr>
        <w:spacing w:after="400"/>
        <w:rPr>
          <w:color w:val="000000" w:themeColor="text1"/>
        </w:rPr>
      </w:pPr>
    </w:p>
    <w:p w14:paraId="5597FBAF" w14:textId="77777777" w:rsidR="003100EC" w:rsidRPr="00812257" w:rsidRDefault="00BB09E9">
      <w:pPr>
        <w:rPr>
          <w:color w:val="000000" w:themeColor="text1"/>
        </w:rPr>
      </w:pPr>
      <w:r w:rsidRPr="00812257">
        <w:rPr>
          <w:i/>
          <w:iCs/>
          <w:color w:val="000000" w:themeColor="text1"/>
          <w:sz w:val="18"/>
          <w:szCs w:val="18"/>
        </w:rPr>
        <w:t xml:space="preserve">Data note: analysis in this report is based on the Superstore sales dataset (train.csv) spanning four years (2015-2018) across three product categories and four U.S. regions, cross-referenced with the Video Game Sales dataset for the Task 5 multi-source merge exercise; see the accompanying </w:t>
      </w:r>
      <w:proofErr w:type="spellStart"/>
      <w:proofErr w:type="gramStart"/>
      <w:r w:rsidRPr="00812257">
        <w:rPr>
          <w:i/>
          <w:iCs/>
          <w:color w:val="000000" w:themeColor="text1"/>
          <w:sz w:val="18"/>
          <w:szCs w:val="18"/>
        </w:rPr>
        <w:t>analysis.ipynb</w:t>
      </w:r>
      <w:proofErr w:type="spellEnd"/>
      <w:proofErr w:type="gramEnd"/>
      <w:r w:rsidRPr="00812257">
        <w:rPr>
          <w:i/>
          <w:iCs/>
          <w:color w:val="000000" w:themeColor="text1"/>
          <w:sz w:val="18"/>
          <w:szCs w:val="18"/>
        </w:rPr>
        <w:t xml:space="preserve"> for full methodology.</w:t>
      </w:r>
    </w:p>
    <w:sectPr w:rsidR="003100EC" w:rsidRPr="00812257">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9169CA"/>
    <w:multiLevelType w:val="hybridMultilevel"/>
    <w:tmpl w:val="19345AFE"/>
    <w:lvl w:ilvl="0" w:tplc="48F42CD8">
      <w:start w:val="1"/>
      <w:numFmt w:val="bullet"/>
      <w:lvlText w:val="●"/>
      <w:lvlJc w:val="left"/>
      <w:pPr>
        <w:ind w:left="720" w:hanging="360"/>
      </w:pPr>
    </w:lvl>
    <w:lvl w:ilvl="1" w:tplc="D7883EE0">
      <w:start w:val="1"/>
      <w:numFmt w:val="bullet"/>
      <w:lvlText w:val="○"/>
      <w:lvlJc w:val="left"/>
      <w:pPr>
        <w:ind w:left="1440" w:hanging="360"/>
      </w:pPr>
    </w:lvl>
    <w:lvl w:ilvl="2" w:tplc="7CA2DCE8">
      <w:start w:val="1"/>
      <w:numFmt w:val="bullet"/>
      <w:lvlText w:val="■"/>
      <w:lvlJc w:val="left"/>
      <w:pPr>
        <w:ind w:left="2160" w:hanging="360"/>
      </w:pPr>
    </w:lvl>
    <w:lvl w:ilvl="3" w:tplc="626411AC">
      <w:start w:val="1"/>
      <w:numFmt w:val="bullet"/>
      <w:lvlText w:val="●"/>
      <w:lvlJc w:val="left"/>
      <w:pPr>
        <w:ind w:left="2880" w:hanging="360"/>
      </w:pPr>
    </w:lvl>
    <w:lvl w:ilvl="4" w:tplc="2FDE9F02">
      <w:start w:val="1"/>
      <w:numFmt w:val="bullet"/>
      <w:lvlText w:val="○"/>
      <w:lvlJc w:val="left"/>
      <w:pPr>
        <w:ind w:left="3600" w:hanging="360"/>
      </w:pPr>
    </w:lvl>
    <w:lvl w:ilvl="5" w:tplc="B12C8C30">
      <w:start w:val="1"/>
      <w:numFmt w:val="bullet"/>
      <w:lvlText w:val="■"/>
      <w:lvlJc w:val="left"/>
      <w:pPr>
        <w:ind w:left="4320" w:hanging="360"/>
      </w:pPr>
    </w:lvl>
    <w:lvl w:ilvl="6" w:tplc="B7FA9BB4">
      <w:start w:val="1"/>
      <w:numFmt w:val="bullet"/>
      <w:lvlText w:val="●"/>
      <w:lvlJc w:val="left"/>
      <w:pPr>
        <w:ind w:left="5040" w:hanging="360"/>
      </w:pPr>
    </w:lvl>
    <w:lvl w:ilvl="7" w:tplc="D6A4CB22">
      <w:start w:val="1"/>
      <w:numFmt w:val="bullet"/>
      <w:lvlText w:val="●"/>
      <w:lvlJc w:val="left"/>
      <w:pPr>
        <w:ind w:left="5760" w:hanging="360"/>
      </w:pPr>
    </w:lvl>
    <w:lvl w:ilvl="8" w:tplc="4BFEE266">
      <w:start w:val="1"/>
      <w:numFmt w:val="bullet"/>
      <w:lvlText w:val="●"/>
      <w:lvlJc w:val="left"/>
      <w:pPr>
        <w:ind w:left="6480" w:hanging="360"/>
      </w:pPr>
    </w:lvl>
  </w:abstractNum>
  <w:num w:numId="1" w16cid:durableId="16062261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00EC"/>
    <w:rsid w:val="003100EC"/>
    <w:rsid w:val="006A6979"/>
    <w:rsid w:val="00812257"/>
    <w:rsid w:val="00BB09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97FB54"/>
  <w15:docId w15:val="{21CB58CA-621B-43BE-87AB-DB08C25C6C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1022</Words>
  <Characters>5831</Characters>
  <Application>Microsoft Office Word</Application>
  <DocSecurity>0</DocSecurity>
  <Lines>48</Lines>
  <Paragraphs>13</Paragraphs>
  <ScaleCrop>false</ScaleCrop>
  <Company/>
  <LinksUpToDate>false</LinksUpToDate>
  <CharactersWithSpaces>6840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Soumojit Das</cp:lastModifiedBy>
  <cp:revision>2</cp:revision>
  <dcterms:created xsi:type="dcterms:W3CDTF">2026-07-12T06:29:00Z</dcterms:created>
  <dcterms:modified xsi:type="dcterms:W3CDTF">2026-07-12T06:48:00Z</dcterms:modified>
</cp:coreProperties>
</file>