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76EBD" w14:textId="45EA9F2E" w:rsidR="00235206" w:rsidRPr="00D23816" w:rsidRDefault="00235206" w:rsidP="00D23816">
      <w:pPr>
        <w:spacing w:after="0" w:line="240" w:lineRule="auto"/>
        <w:jc w:val="center"/>
        <w:outlineLvl w:val="0"/>
        <w:rPr>
          <w:rFonts w:ascii="Times New Roman" w:eastAsia="Times New Roman" w:hAnsi="Times New Roman" w:cs="Times New Roman"/>
          <w:b/>
          <w:bCs/>
          <w:kern w:val="36"/>
          <w:sz w:val="40"/>
          <w:szCs w:val="40"/>
          <w:lang w:eastAsia="en-IN"/>
        </w:rPr>
      </w:pPr>
      <w:r w:rsidRPr="00D23816">
        <w:rPr>
          <w:rFonts w:ascii="Times New Roman" w:eastAsia="Times New Roman" w:hAnsi="Times New Roman" w:cs="Times New Roman"/>
          <w:b/>
          <w:bCs/>
          <w:kern w:val="36"/>
          <w:sz w:val="40"/>
          <w:szCs w:val="40"/>
          <w:lang w:eastAsia="en-IN"/>
        </w:rPr>
        <w:t>Point out</w:t>
      </w:r>
      <w:r w:rsidR="00DA6B7E" w:rsidRPr="00D23816">
        <w:rPr>
          <w:rFonts w:ascii="Times New Roman" w:eastAsia="Times New Roman" w:hAnsi="Times New Roman" w:cs="Times New Roman"/>
          <w:b/>
          <w:bCs/>
          <w:kern w:val="36"/>
          <w:sz w:val="40"/>
          <w:szCs w:val="40"/>
          <w:lang w:eastAsia="en-IN"/>
        </w:rPr>
        <w:t xml:space="preserve"> the </w:t>
      </w:r>
      <w:r w:rsidRPr="00D23816">
        <w:rPr>
          <w:rFonts w:ascii="Times New Roman" w:eastAsia="Times New Roman" w:hAnsi="Times New Roman" w:cs="Times New Roman"/>
          <w:b/>
          <w:bCs/>
          <w:kern w:val="36"/>
          <w:sz w:val="40"/>
          <w:szCs w:val="40"/>
          <w:lang w:eastAsia="en-IN"/>
        </w:rPr>
        <w:t>jurisdiction of Supreme Court and High Courts so for as writs are concerned</w:t>
      </w:r>
    </w:p>
    <w:p w14:paraId="0E2D379C" w14:textId="0545DDB6" w:rsidR="00235206" w:rsidRPr="00D23816" w:rsidRDefault="00235206" w:rsidP="00D23816">
      <w:pPr>
        <w:spacing w:after="0" w:line="240" w:lineRule="auto"/>
        <w:outlineLvl w:val="0"/>
        <w:rPr>
          <w:rFonts w:ascii="Times New Roman" w:eastAsia="Times New Roman" w:hAnsi="Times New Roman" w:cs="Times New Roman"/>
          <w:b/>
          <w:bCs/>
          <w:kern w:val="36"/>
          <w:sz w:val="40"/>
          <w:szCs w:val="40"/>
          <w:lang w:eastAsia="en-IN"/>
        </w:rPr>
      </w:pPr>
      <w:r w:rsidRPr="00D23816">
        <w:rPr>
          <w:rFonts w:ascii="Times New Roman" w:eastAsia="Times New Roman" w:hAnsi="Times New Roman" w:cs="Times New Roman"/>
          <w:b/>
          <w:bCs/>
          <w:kern w:val="36"/>
          <w:sz w:val="40"/>
          <w:szCs w:val="40"/>
          <w:lang w:eastAsia="en-IN"/>
        </w:rPr>
        <w:t>Supreme court</w:t>
      </w:r>
      <w:r w:rsidR="00D23816">
        <w:rPr>
          <w:rFonts w:ascii="Times New Roman" w:eastAsia="Times New Roman" w:hAnsi="Times New Roman" w:cs="Times New Roman"/>
          <w:b/>
          <w:bCs/>
          <w:kern w:val="36"/>
          <w:sz w:val="40"/>
          <w:szCs w:val="40"/>
          <w:lang w:eastAsia="en-IN"/>
        </w:rPr>
        <w:t>:</w:t>
      </w:r>
    </w:p>
    <w:p w14:paraId="3C105603" w14:textId="5FEFD0E1" w:rsidR="00F5183B" w:rsidRPr="00F5183B" w:rsidRDefault="00F5183B" w:rsidP="00940272">
      <w:pPr>
        <w:spacing w:after="0" w:line="240" w:lineRule="auto"/>
        <w:jc w:val="both"/>
        <w:outlineLvl w:val="0"/>
        <w:rPr>
          <w:rFonts w:ascii="Times New Roman" w:eastAsia="Times New Roman" w:hAnsi="Times New Roman" w:cs="Times New Roman"/>
          <w:b/>
          <w:bCs/>
          <w:kern w:val="36"/>
          <w:sz w:val="40"/>
          <w:szCs w:val="40"/>
          <w:lang w:eastAsia="en-IN"/>
        </w:rPr>
      </w:pPr>
      <w:r w:rsidRPr="00F5183B">
        <w:rPr>
          <w:rFonts w:ascii="Times New Roman" w:eastAsia="Times New Roman" w:hAnsi="Times New Roman" w:cs="Times New Roman"/>
          <w:b/>
          <w:bCs/>
          <w:kern w:val="36"/>
          <w:sz w:val="40"/>
          <w:szCs w:val="40"/>
          <w:lang w:eastAsia="en-IN"/>
        </w:rPr>
        <w:t>Introduction</w:t>
      </w:r>
    </w:p>
    <w:p w14:paraId="59C08B61" w14:textId="77777777" w:rsidR="00F5183B" w:rsidRPr="00F5183B" w:rsidRDefault="00F5183B" w:rsidP="00940272">
      <w:pPr>
        <w:spacing w:after="0" w:line="240" w:lineRule="auto"/>
        <w:jc w:val="both"/>
        <w:rPr>
          <w:rFonts w:ascii="Times New Roman" w:eastAsia="Times New Roman" w:hAnsi="Times New Roman" w:cs="Times New Roman"/>
          <w:sz w:val="24"/>
          <w:szCs w:val="24"/>
          <w:lang w:eastAsia="en-IN"/>
        </w:rPr>
      </w:pPr>
      <w:r w:rsidRPr="00F5183B">
        <w:rPr>
          <w:rFonts w:ascii="Times New Roman" w:eastAsia="Times New Roman" w:hAnsi="Times New Roman" w:cs="Times New Roman"/>
          <w:sz w:val="24"/>
          <w:szCs w:val="24"/>
          <w:lang w:eastAsia="en-IN"/>
        </w:rPr>
        <w:t>The Supreme Court of India is the court of final appeal and the highest Constitutional Court. In order to enable it to perform its sacred duties, it has been conferred with a very wide jurisdiction. The Court hears appeals from the orders of the subordinate courts, interprets and upholds the Constitution, safeguards and shields the fundamental rights of the citizens; and resolves inter-State disputes.</w:t>
      </w:r>
    </w:p>
    <w:p w14:paraId="540BF062" w14:textId="77777777" w:rsidR="00F5183B" w:rsidRDefault="00F5183B" w:rsidP="00940272">
      <w:pPr>
        <w:pStyle w:val="Heading1"/>
        <w:spacing w:before="0" w:beforeAutospacing="0" w:after="0" w:afterAutospacing="0"/>
        <w:jc w:val="both"/>
      </w:pPr>
      <w:r>
        <w:t>Historical overview</w:t>
      </w:r>
    </w:p>
    <w:p w14:paraId="6911B64B" w14:textId="77777777" w:rsidR="00F5183B" w:rsidRDefault="00F5183B" w:rsidP="00940272">
      <w:pPr>
        <w:pStyle w:val="NormalWeb"/>
        <w:spacing w:before="0" w:beforeAutospacing="0" w:after="0" w:afterAutospacing="0"/>
        <w:jc w:val="both"/>
      </w:pPr>
      <w:r>
        <w:t xml:space="preserve">The history of the Supreme Court can be traced back to the </w:t>
      </w:r>
      <w:hyperlink r:id="rId5" w:tgtFrame="_blank" w:history="1">
        <w:r>
          <w:rPr>
            <w:rStyle w:val="Hyperlink"/>
          </w:rPr>
          <w:t>Government of India Act, 1935</w:t>
        </w:r>
      </w:hyperlink>
      <w:r>
        <w:t>. The Act established the Federal Court, which was responsible for adjudicating on the disputes between the federal states and provinces. Furthermore, the Federal Court was also empowered to hear appeals from the high courts.</w:t>
      </w:r>
    </w:p>
    <w:p w14:paraId="678B3B27" w14:textId="77777777" w:rsidR="00F5183B" w:rsidRDefault="00F5183B" w:rsidP="00940272">
      <w:pPr>
        <w:pStyle w:val="NormalWeb"/>
        <w:spacing w:before="0" w:beforeAutospacing="0" w:after="0" w:afterAutospacing="0"/>
        <w:jc w:val="both"/>
      </w:pPr>
      <w:r>
        <w:t xml:space="preserve">The jurisdiction and powers of the Supreme Court are similar to those of the Federal Court. </w:t>
      </w:r>
      <w:hyperlink r:id="rId6" w:tgtFrame="_blank" w:history="1">
        <w:r>
          <w:rPr>
            <w:rStyle w:val="Hyperlink"/>
          </w:rPr>
          <w:t>Article 124</w:t>
        </w:r>
      </w:hyperlink>
      <w:r>
        <w:t xml:space="preserve"> of the </w:t>
      </w:r>
      <w:hyperlink r:id="rId7" w:tgtFrame="_blank" w:history="1">
        <w:r>
          <w:rPr>
            <w:rStyle w:val="Hyperlink"/>
          </w:rPr>
          <w:t>Indian Constitution</w:t>
        </w:r>
      </w:hyperlink>
      <w:r>
        <w:t xml:space="preserve"> provides for the establishment of the Supreme Court. The Supreme Court became operational on 28th January, 1950, and the first judge to preside over the Supreme Court of India was Hon’ble Mr. Justice Harilal Jekisundas Kania.</w:t>
      </w:r>
    </w:p>
    <w:p w14:paraId="63693430" w14:textId="77777777" w:rsidR="00F5183B" w:rsidRDefault="00F5183B" w:rsidP="00940272">
      <w:pPr>
        <w:pStyle w:val="Heading1"/>
        <w:spacing w:before="0" w:beforeAutospacing="0" w:after="0" w:afterAutospacing="0"/>
        <w:jc w:val="both"/>
      </w:pPr>
      <w:r>
        <w:t>Original jurisdiction of Supreme Court </w:t>
      </w:r>
    </w:p>
    <w:p w14:paraId="7DC57F88" w14:textId="77777777" w:rsidR="00F5183B" w:rsidRDefault="00F5183B" w:rsidP="00940272">
      <w:pPr>
        <w:pStyle w:val="NormalWeb"/>
        <w:spacing w:before="0" w:beforeAutospacing="0" w:after="0" w:afterAutospacing="0"/>
        <w:jc w:val="both"/>
      </w:pPr>
      <w:r>
        <w:t>Original jurisdiction is the power of the court to hear and adjudicate upon the matter as the court of first instance. </w:t>
      </w:r>
    </w:p>
    <w:p w14:paraId="1CBA8DFA" w14:textId="77777777" w:rsidR="00F5183B" w:rsidRDefault="00F5183B" w:rsidP="00940272">
      <w:pPr>
        <w:pStyle w:val="NormalWeb"/>
        <w:spacing w:before="0" w:beforeAutospacing="0" w:after="0" w:afterAutospacing="0"/>
        <w:jc w:val="both"/>
      </w:pPr>
      <w:hyperlink r:id="rId8" w:history="1">
        <w:r>
          <w:rPr>
            <w:rStyle w:val="Hyperlink"/>
          </w:rPr>
          <w:t>Article 131</w:t>
        </w:r>
      </w:hyperlink>
      <w:r>
        <w:t xml:space="preserve"> elucidates the original jurisdiction of the Apex Court. It provides that the Court will be competent to exercise original jurisdiction: </w:t>
      </w:r>
    </w:p>
    <w:p w14:paraId="3BE5762E" w14:textId="77777777" w:rsidR="00F5183B" w:rsidRDefault="00F5183B" w:rsidP="00940272">
      <w:pPr>
        <w:numPr>
          <w:ilvl w:val="0"/>
          <w:numId w:val="1"/>
        </w:numPr>
        <w:spacing w:after="0" w:line="240" w:lineRule="auto"/>
        <w:jc w:val="both"/>
      </w:pPr>
      <w:r>
        <w:t>In disputes between the Union Government and one or more States</w:t>
      </w:r>
    </w:p>
    <w:p w14:paraId="6CF38BB0" w14:textId="77777777" w:rsidR="00F5183B" w:rsidRDefault="00F5183B" w:rsidP="00940272">
      <w:pPr>
        <w:numPr>
          <w:ilvl w:val="0"/>
          <w:numId w:val="1"/>
        </w:numPr>
        <w:spacing w:after="0" w:line="240" w:lineRule="auto"/>
        <w:jc w:val="both"/>
      </w:pPr>
      <w:r>
        <w:t>In such disputes, where the Union Government and one or more states constitute one party and one or more states constitute the other party</w:t>
      </w:r>
    </w:p>
    <w:p w14:paraId="5642DBFE" w14:textId="77777777" w:rsidR="00F5183B" w:rsidRDefault="00F5183B" w:rsidP="00940272">
      <w:pPr>
        <w:numPr>
          <w:ilvl w:val="0"/>
          <w:numId w:val="1"/>
        </w:numPr>
        <w:spacing w:after="0" w:line="240" w:lineRule="auto"/>
        <w:jc w:val="both"/>
      </w:pPr>
      <w:r>
        <w:t>In disputes between two or more states</w:t>
      </w:r>
    </w:p>
    <w:p w14:paraId="5DFE7F41" w14:textId="77777777" w:rsidR="00F5183B" w:rsidRDefault="00F5183B" w:rsidP="00940272">
      <w:pPr>
        <w:pStyle w:val="NormalWeb"/>
        <w:spacing w:before="0" w:beforeAutospacing="0" w:after="0" w:afterAutospacing="0"/>
        <w:jc w:val="both"/>
      </w:pPr>
      <w:r>
        <w:t>The disputes under this Article must raise a pertinent question of legal right. No other court has the power to try the  disputes envisaged under this Article. The intent of the Constitution makers behind conferring such wide jurisdiction on the Apex Court was to ensure that the disputes of such nature are decided once and for all at the highest federal court.  </w:t>
      </w:r>
    </w:p>
    <w:p w14:paraId="0764D49B" w14:textId="77777777" w:rsidR="00F5183B" w:rsidRDefault="00F5183B" w:rsidP="00940272">
      <w:pPr>
        <w:pStyle w:val="NormalWeb"/>
        <w:spacing w:before="0" w:beforeAutospacing="0" w:after="0" w:afterAutospacing="0"/>
        <w:jc w:val="both"/>
      </w:pPr>
      <w:r>
        <w:t xml:space="preserve">However, the proviso to Article 131 states that the jurisdiction of the Supreme Court can be excluded by virtue of any treaty, agreement, or similar instrument. This Article is ostensibly based on </w:t>
      </w:r>
      <w:hyperlink r:id="rId9" w:anchor=":~:text=Under%20this%20section%2C%20the%20Federal,a)%20cited%20above%20were%20fulfilled." w:history="1">
        <w:r>
          <w:rPr>
            <w:rStyle w:val="Hyperlink"/>
          </w:rPr>
          <w:t>Section 204</w:t>
        </w:r>
      </w:hyperlink>
      <w:r>
        <w:t xml:space="preserve"> of the Government of India Act, 1935. </w:t>
      </w:r>
    </w:p>
    <w:p w14:paraId="381CF1CB" w14:textId="53AE02D8" w:rsidR="00235206" w:rsidRDefault="00F5183B" w:rsidP="00235206">
      <w:pPr>
        <w:pStyle w:val="NormalWeb"/>
        <w:spacing w:before="0" w:beforeAutospacing="0" w:after="0" w:afterAutospacing="0"/>
        <w:jc w:val="both"/>
      </w:pPr>
      <w:r>
        <w:t>Moreover, the wording of Article 131 implies that it has to be read in accordance with and “subject” to other Constitutional provisions. Thus, the original jurisdiction under Article 131 can be restricted by other Constitutional provisions, such as in the case of disputes relating to the operation and distribution of inter-State river waters (</w:t>
      </w:r>
      <w:hyperlink r:id="rId10" w:history="1">
        <w:r>
          <w:rPr>
            <w:rStyle w:val="Hyperlink"/>
          </w:rPr>
          <w:t>Article 260</w:t>
        </w:r>
      </w:hyperlink>
      <w:r>
        <w:t xml:space="preserve">) or Presidential recommendations to the Finance Commission under </w:t>
      </w:r>
      <w:hyperlink r:id="rId11" w:history="1">
        <w:r>
          <w:rPr>
            <w:rStyle w:val="Hyperlink"/>
          </w:rPr>
          <w:t>Article 280</w:t>
        </w:r>
      </w:hyperlink>
      <w:r>
        <w:t xml:space="preserve">. </w:t>
      </w:r>
      <w:hyperlink r:id="rId12" w:history="1">
        <w:r>
          <w:rPr>
            <w:rStyle w:val="Emphasis"/>
            <w:color w:val="0000FF"/>
            <w:u w:val="single"/>
          </w:rPr>
          <w:t>State of Bihar v. Union of India</w:t>
        </w:r>
      </w:hyperlink>
      <w:r>
        <w:t xml:space="preserve"> (1969),</w:t>
      </w:r>
    </w:p>
    <w:p w14:paraId="4974D6A2" w14:textId="738E1B1E" w:rsidR="00F5183B" w:rsidRDefault="00F5183B" w:rsidP="00940272">
      <w:pPr>
        <w:pStyle w:val="NormalWeb"/>
        <w:spacing w:before="0" w:beforeAutospacing="0" w:after="0" w:afterAutospacing="0"/>
        <w:jc w:val="both"/>
      </w:pPr>
      <w:r>
        <w:t> </w:t>
      </w:r>
    </w:p>
    <w:p w14:paraId="225ACF2F" w14:textId="77777777" w:rsidR="00F5183B" w:rsidRPr="00235206" w:rsidRDefault="00F5183B" w:rsidP="00940272">
      <w:pPr>
        <w:pStyle w:val="Heading2"/>
        <w:spacing w:before="0"/>
        <w:jc w:val="both"/>
        <w:rPr>
          <w:sz w:val="40"/>
          <w:szCs w:val="36"/>
        </w:rPr>
      </w:pPr>
      <w:r w:rsidRPr="00235206">
        <w:rPr>
          <w:sz w:val="40"/>
          <w:szCs w:val="36"/>
        </w:rPr>
        <w:t>Writ Jurisdiction</w:t>
      </w:r>
    </w:p>
    <w:p w14:paraId="10CAF8BF" w14:textId="77777777" w:rsidR="00F5183B" w:rsidRDefault="00F5183B" w:rsidP="00940272">
      <w:pPr>
        <w:pStyle w:val="NormalWeb"/>
        <w:spacing w:before="0" w:beforeAutospacing="0" w:after="0" w:afterAutospacing="0"/>
        <w:jc w:val="both"/>
      </w:pPr>
      <w:r>
        <w:t xml:space="preserve">Furthermore, the Court enjoys original jurisdiction in matters relating to the enforcement of fundamental rights of individuals. Any individual can approach the Apex Court in case of violation of fundamental rights, and the Court can issue writs for granting the appropriate </w:t>
      </w:r>
      <w:r>
        <w:lastRenderedPageBreak/>
        <w:t xml:space="preserve">remedy. India adopted the concept of Writs from the British legal system, which empowers the courts to issue Prerogative Writs. </w:t>
      </w:r>
      <w:hyperlink r:id="rId13" w:history="1">
        <w:r>
          <w:rPr>
            <w:rStyle w:val="Hyperlink"/>
          </w:rPr>
          <w:t>Article 32</w:t>
        </w:r>
      </w:hyperlink>
      <w:r>
        <w:t xml:space="preserve"> provides that the Court can issue the following for enforcement of fundamental rights:</w:t>
      </w:r>
    </w:p>
    <w:p w14:paraId="55B5737A" w14:textId="77777777" w:rsidR="00F5183B" w:rsidRDefault="00F5183B" w:rsidP="00940272">
      <w:pPr>
        <w:numPr>
          <w:ilvl w:val="0"/>
          <w:numId w:val="2"/>
        </w:numPr>
        <w:spacing w:after="0" w:line="240" w:lineRule="auto"/>
        <w:jc w:val="both"/>
      </w:pPr>
      <w:r>
        <w:rPr>
          <w:rStyle w:val="Strong"/>
        </w:rPr>
        <w:t>Habeas Corpus</w:t>
      </w:r>
      <w:r>
        <w:t xml:space="preserve">: Writ ordering the production of the detainee before the Court in order to ascertain whether the detention is legal or unlawful. By virtue of the effect of the </w:t>
      </w:r>
      <w:hyperlink r:id="rId14" w:history="1">
        <w:r>
          <w:rPr>
            <w:rStyle w:val="Hyperlink"/>
          </w:rPr>
          <w:t>44th Constitutional Amendment</w:t>
        </w:r>
      </w:hyperlink>
      <w:r>
        <w:t xml:space="preserve">, which provides that </w:t>
      </w:r>
      <w:hyperlink r:id="rId15" w:anchor=":~:text=Central%20Government%20Act-,Article%2021%20in%20The%20Constitution%20Of%20India%201949,to%20procedure%20established%20by%20law" w:history="1">
        <w:r>
          <w:rPr>
            <w:rStyle w:val="Hyperlink"/>
          </w:rPr>
          <w:t>Article 21</w:t>
        </w:r>
      </w:hyperlink>
      <w:r>
        <w:t xml:space="preserve"> cannot be suspended even at the time of a declaration of emergency, the writ of Habeas Corpus can be effectively issued at the time of emergency as well. </w:t>
      </w:r>
    </w:p>
    <w:p w14:paraId="2D1C0316" w14:textId="77777777" w:rsidR="00F5183B" w:rsidRDefault="00F5183B" w:rsidP="00940272">
      <w:pPr>
        <w:numPr>
          <w:ilvl w:val="0"/>
          <w:numId w:val="2"/>
        </w:numPr>
        <w:spacing w:after="0" w:line="240" w:lineRule="auto"/>
        <w:jc w:val="both"/>
      </w:pPr>
      <w:r>
        <w:rPr>
          <w:rStyle w:val="Strong"/>
        </w:rPr>
        <w:t>Quo warranto</w:t>
      </w:r>
      <w:r>
        <w:t>: This writ is issued by a court to a public officer requiring him to explain the authority behind his actions. The public officer is required to prove the authority by which he is holding the office and exercising the powers of the public office. This writ is ordinarily issued against executive officers holding public offices.</w:t>
      </w:r>
    </w:p>
    <w:p w14:paraId="26AF2ED2" w14:textId="77777777" w:rsidR="00F5183B" w:rsidRDefault="00F5183B" w:rsidP="00940272">
      <w:pPr>
        <w:numPr>
          <w:ilvl w:val="0"/>
          <w:numId w:val="2"/>
        </w:numPr>
        <w:spacing w:after="0" w:line="240" w:lineRule="auto"/>
        <w:jc w:val="both"/>
      </w:pPr>
      <w:r>
        <w:rPr>
          <w:rStyle w:val="Strong"/>
        </w:rPr>
        <w:t>Mandamus</w:t>
      </w:r>
      <w:r>
        <w:t>: The Court issues a writ of Mandamus to direct a public official to resume the discharge of his public duty. It is pertinent to note that this writ cannot be issued against a private person, a high court chief justice, President of India or the Governor of any state.</w:t>
      </w:r>
    </w:p>
    <w:p w14:paraId="29A4013D" w14:textId="77777777" w:rsidR="00F5183B" w:rsidRDefault="00F5183B" w:rsidP="00940272">
      <w:pPr>
        <w:numPr>
          <w:ilvl w:val="0"/>
          <w:numId w:val="2"/>
        </w:numPr>
        <w:spacing w:after="0" w:line="240" w:lineRule="auto"/>
        <w:jc w:val="both"/>
      </w:pPr>
      <w:r>
        <w:rPr>
          <w:rStyle w:val="Strong"/>
        </w:rPr>
        <w:t>Prohibition</w:t>
      </w:r>
      <w:r>
        <w:t>: The Court issues this writ to prevent a subordinate court from exceeding or usurping its jurisdiction or from acting in contravention of the law. This writ is issued at the time when a subordinate court decides to try a matter in excess of its jurisdiction.</w:t>
      </w:r>
    </w:p>
    <w:p w14:paraId="13D03790" w14:textId="77777777" w:rsidR="00F5183B" w:rsidRDefault="00F5183B" w:rsidP="00940272">
      <w:pPr>
        <w:numPr>
          <w:ilvl w:val="0"/>
          <w:numId w:val="2"/>
        </w:numPr>
        <w:spacing w:after="0" w:line="240" w:lineRule="auto"/>
        <w:jc w:val="both"/>
      </w:pPr>
      <w:r>
        <w:rPr>
          <w:rStyle w:val="Strong"/>
        </w:rPr>
        <w:t>Certiorari</w:t>
      </w:r>
      <w:r>
        <w:t>: Where the Subordinate Court decides a matter which is beyond its jurisdiction or where the matter is decided in contravention of the natural justice principles, the Court is empowered to issue the writ of certiorari, thereby setting aside or quashing the erroneous decision.</w:t>
      </w:r>
    </w:p>
    <w:p w14:paraId="5C815997" w14:textId="77777777" w:rsidR="00F5183B" w:rsidRDefault="00F5183B" w:rsidP="00940272">
      <w:pPr>
        <w:pStyle w:val="NormalWeb"/>
        <w:spacing w:before="0" w:beforeAutospacing="0" w:after="0" w:afterAutospacing="0"/>
        <w:jc w:val="both"/>
      </w:pPr>
      <w:hyperlink r:id="rId16" w:history="1">
        <w:r>
          <w:rPr>
            <w:rStyle w:val="Hyperlink"/>
          </w:rPr>
          <w:t>Article 139A</w:t>
        </w:r>
      </w:hyperlink>
      <w:r>
        <w:rPr>
          <w:rStyle w:val="Strong"/>
        </w:rPr>
        <w:t xml:space="preserve"> </w:t>
      </w:r>
      <w:r>
        <w:t>provides that when a matter involving a substantial question of law is pending before the Apex Court and also before any High Court or where such a matter is pending before two or more High Courts, the Court can withdraw the matter from the High Court and decide the matter by itself.</w:t>
      </w:r>
    </w:p>
    <w:p w14:paraId="42DDAC2A" w14:textId="77777777" w:rsidR="00F5183B" w:rsidRDefault="00F5183B" w:rsidP="00940272">
      <w:pPr>
        <w:pStyle w:val="NormalWeb"/>
        <w:spacing w:before="0" w:beforeAutospacing="0" w:after="0" w:afterAutospacing="0"/>
        <w:jc w:val="both"/>
      </w:pPr>
      <w:r>
        <w:t xml:space="preserve">Under </w:t>
      </w:r>
      <w:hyperlink r:id="rId17" w:history="1">
        <w:r>
          <w:rPr>
            <w:rStyle w:val="Hyperlink"/>
          </w:rPr>
          <w:t>Article 138</w:t>
        </w:r>
      </w:hyperlink>
      <w:r>
        <w:t>, Parliament can confer original jurisdiction on the Supreme Court through the medium of legislation. For example, the Apex Court is empowered to commence International Commercial Arbitration by virtue of the Arbitration and Conciliation Act, 1996.</w:t>
      </w:r>
    </w:p>
    <w:p w14:paraId="4D229542" w14:textId="77777777" w:rsidR="00F5183B" w:rsidRDefault="00F5183B" w:rsidP="00940272">
      <w:pPr>
        <w:pStyle w:val="Heading1"/>
        <w:spacing w:before="0" w:beforeAutospacing="0" w:after="0" w:afterAutospacing="0"/>
        <w:jc w:val="both"/>
      </w:pPr>
      <w:r>
        <w:t>Advisory Jurisdiction of Supreme Court</w:t>
      </w:r>
    </w:p>
    <w:p w14:paraId="42C4E230" w14:textId="77777777" w:rsidR="00F5183B" w:rsidRDefault="00F5183B" w:rsidP="00940272">
      <w:pPr>
        <w:pStyle w:val="NormalWeb"/>
        <w:spacing w:before="0" w:beforeAutospacing="0" w:after="0" w:afterAutospacing="0"/>
        <w:jc w:val="both"/>
      </w:pPr>
      <w:hyperlink r:id="rId18" w:history="1">
        <w:r>
          <w:rPr>
            <w:rStyle w:val="Hyperlink"/>
          </w:rPr>
          <w:t>Article 143</w:t>
        </w:r>
      </w:hyperlink>
      <w:r>
        <w:t xml:space="preserve"> confers the advisory jurisdiction upon the Apex Court. The advisory opinion of the Supreme Court can be requested by the President on any question of law or fact which is of public importance and where the President considers obtaining such opinion to be expedient. </w:t>
      </w:r>
    </w:p>
    <w:p w14:paraId="0F75FDE8" w14:textId="57B425BD" w:rsidR="00940272" w:rsidRDefault="00F5183B" w:rsidP="00524095">
      <w:pPr>
        <w:pStyle w:val="NormalWeb"/>
        <w:spacing w:before="0" w:beforeAutospacing="0" w:after="0" w:afterAutospacing="0"/>
        <w:jc w:val="both"/>
      </w:pPr>
      <w:r>
        <w:t xml:space="preserve">Similar to the original jurisdiction, the advisory jurisdiction also stems from the Government of India Act, 1935. </w:t>
      </w:r>
      <w:hyperlink r:id="rId19" w:history="1">
        <w:r>
          <w:rPr>
            <w:rStyle w:val="Hyperlink"/>
          </w:rPr>
          <w:t>Section 213(1)</w:t>
        </w:r>
      </w:hyperlink>
      <w:r>
        <w:t xml:space="preserve"> of the Government of India Act, 1935, provided for the advisory jurisdiction of the Federal Court. The essence of this Section was incorporated in Article 143 of the Constitution. </w:t>
      </w:r>
      <w:hyperlink r:id="rId20" w:history="1">
        <w:r>
          <w:rPr>
            <w:rStyle w:val="Emphasis"/>
            <w:color w:val="0000FF"/>
            <w:u w:val="single"/>
          </w:rPr>
          <w:t>Re: Keshav Singh</w:t>
        </w:r>
      </w:hyperlink>
      <w:r>
        <w:t xml:space="preserve">, </w:t>
      </w:r>
      <w:hyperlink r:id="rId21" w:tgtFrame="_blank" w:history="1">
        <w:r w:rsidRPr="00940272">
          <w:rPr>
            <w:rStyle w:val="Emphasis"/>
            <w:color w:val="0000FF"/>
            <w:u w:val="single"/>
          </w:rPr>
          <w:t>M. Ismail Faruqui v. Union of India</w:t>
        </w:r>
      </w:hyperlink>
      <w:r>
        <w:rPr>
          <w:rStyle w:val="Emphasis"/>
        </w:rPr>
        <w:t>,</w:t>
      </w:r>
      <w:r>
        <w:t xml:space="preserve"> </w:t>
      </w:r>
      <w:hyperlink r:id="rId22" w:tgtFrame="_blank" w:history="1">
        <w:r>
          <w:rPr>
            <w:rStyle w:val="Hyperlink"/>
          </w:rPr>
          <w:t xml:space="preserve">In Re: </w:t>
        </w:r>
        <w:r w:rsidRPr="00940272">
          <w:rPr>
            <w:rStyle w:val="Emphasis"/>
            <w:color w:val="0000FF"/>
            <w:u w:val="single"/>
          </w:rPr>
          <w:t>Kerala Education Bill v. Unknown</w:t>
        </w:r>
      </w:hyperlink>
      <w:r w:rsidRPr="00940272">
        <w:rPr>
          <w:rStyle w:val="Emphasis"/>
          <w:b/>
          <w:bCs/>
        </w:rPr>
        <w:t xml:space="preserve"> </w:t>
      </w:r>
      <w:r>
        <w:t>(1958)</w:t>
      </w:r>
      <w:r w:rsidRPr="00940272">
        <w:rPr>
          <w:rStyle w:val="Emphasis"/>
          <w:b/>
          <w:bCs/>
        </w:rPr>
        <w:t>,</w:t>
      </w:r>
    </w:p>
    <w:p w14:paraId="7276CF7C" w14:textId="77777777" w:rsidR="00F5183B" w:rsidRDefault="00F5183B" w:rsidP="00940272">
      <w:pPr>
        <w:pStyle w:val="Heading1"/>
        <w:spacing w:before="0" w:beforeAutospacing="0" w:after="0" w:afterAutospacing="0"/>
        <w:jc w:val="both"/>
      </w:pPr>
      <w:r>
        <w:t>Appellate Jurisdiction of Supreme Court</w:t>
      </w:r>
    </w:p>
    <w:p w14:paraId="5302C793" w14:textId="77777777" w:rsidR="00F5183B" w:rsidRDefault="00F5183B" w:rsidP="00940272">
      <w:pPr>
        <w:pStyle w:val="NormalWeb"/>
        <w:spacing w:before="0" w:beforeAutospacing="0" w:after="0" w:afterAutospacing="0"/>
        <w:jc w:val="both"/>
      </w:pPr>
      <w:hyperlink r:id="rId23" w:history="1">
        <w:r>
          <w:rPr>
            <w:rStyle w:val="Hyperlink"/>
          </w:rPr>
          <w:t>Articles 132</w:t>
        </w:r>
      </w:hyperlink>
      <w:r>
        <w:t xml:space="preserve"> and </w:t>
      </w:r>
      <w:hyperlink r:id="rId24" w:history="1">
        <w:r>
          <w:rPr>
            <w:rStyle w:val="Hyperlink"/>
          </w:rPr>
          <w:t>133</w:t>
        </w:r>
      </w:hyperlink>
      <w:r>
        <w:t xml:space="preserve"> provide for the appellate jurisdiction of the Supreme Court. The Supreme Court can entertain an appeal against a High Court’s “</w:t>
      </w:r>
      <w:r>
        <w:rPr>
          <w:rStyle w:val="Emphasis"/>
        </w:rPr>
        <w:t>judgment, decree or final order</w:t>
      </w:r>
      <w:r>
        <w:t>” provided that the High Court certifies that the matter involves a “</w:t>
      </w:r>
      <w:r>
        <w:rPr>
          <w:rStyle w:val="Emphasis"/>
        </w:rPr>
        <w:t>substantial question of law</w:t>
      </w:r>
      <w:r>
        <w:t>“.</w:t>
      </w:r>
    </w:p>
    <w:p w14:paraId="3795A687" w14:textId="38B2DD7E" w:rsidR="00F5183B" w:rsidRDefault="00F5183B" w:rsidP="00940272">
      <w:pPr>
        <w:pStyle w:val="NormalWeb"/>
        <w:spacing w:before="0" w:beforeAutospacing="0" w:after="0" w:afterAutospacing="0"/>
        <w:jc w:val="both"/>
      </w:pPr>
      <w:r>
        <w:t xml:space="preserve">The expression “final order” means an order which would not give rise to any further action.  </w:t>
      </w:r>
      <w:r w:rsidR="00940272">
        <w:t xml:space="preserve">Important Case laws </w:t>
      </w:r>
      <w:hyperlink r:id="rId25" w:history="1">
        <w:r>
          <w:rPr>
            <w:rStyle w:val="Emphasis"/>
            <w:color w:val="0000FF"/>
            <w:u w:val="single"/>
          </w:rPr>
          <w:t>Ramachand Manjimal v. Goverdhandas Vishindas Ratanchand</w:t>
        </w:r>
      </w:hyperlink>
      <w:r>
        <w:t xml:space="preserve">, </w:t>
      </w:r>
      <w:hyperlink r:id="rId26" w:history="1">
        <w:r>
          <w:rPr>
            <w:rStyle w:val="Emphasis"/>
            <w:color w:val="0000FF"/>
            <w:u w:val="single"/>
          </w:rPr>
          <w:t>Mohinder Singh v. the State</w:t>
        </w:r>
      </w:hyperlink>
      <w:r>
        <w:rPr>
          <w:rStyle w:val="Emphasis"/>
        </w:rPr>
        <w:t xml:space="preserve"> (1950)</w:t>
      </w:r>
      <w:r>
        <w:t xml:space="preserve">, </w:t>
      </w:r>
      <w:hyperlink r:id="rId27" w:tgtFrame="_blank" w:history="1">
        <w:r>
          <w:rPr>
            <w:rStyle w:val="Emphasis"/>
            <w:color w:val="0000FF"/>
            <w:u w:val="single"/>
          </w:rPr>
          <w:t>Pritam Singh v. State</w:t>
        </w:r>
      </w:hyperlink>
      <w:r>
        <w:t xml:space="preserve"> (1950), </w:t>
      </w:r>
    </w:p>
    <w:p w14:paraId="0322643C" w14:textId="77777777" w:rsidR="00F5183B" w:rsidRDefault="00F5183B" w:rsidP="00940272">
      <w:pPr>
        <w:pStyle w:val="Heading1"/>
        <w:spacing w:before="0" w:beforeAutospacing="0" w:after="0" w:afterAutospacing="0"/>
        <w:jc w:val="both"/>
      </w:pPr>
      <w:r>
        <w:t>Review Jurisdiction of Supreme Court</w:t>
      </w:r>
    </w:p>
    <w:p w14:paraId="7D319424" w14:textId="158AB4C6" w:rsidR="00F5183B" w:rsidRDefault="00F5183B" w:rsidP="00940272">
      <w:pPr>
        <w:pStyle w:val="NormalWeb"/>
        <w:spacing w:before="0" w:beforeAutospacing="0" w:after="0" w:afterAutospacing="0"/>
        <w:jc w:val="both"/>
      </w:pPr>
      <w:r>
        <w:t xml:space="preserve">The Supreme Court enjoys review jurisdiction under </w:t>
      </w:r>
      <w:hyperlink r:id="rId28" w:history="1">
        <w:r>
          <w:rPr>
            <w:rStyle w:val="Hyperlink"/>
          </w:rPr>
          <w:t>Article 137</w:t>
        </w:r>
      </w:hyperlink>
      <w:r>
        <w:t xml:space="preserve"> of the Constitution. This Article provides that the Supreme Court has the power to review its own judgments and orders. </w:t>
      </w:r>
      <w:r>
        <w:lastRenderedPageBreak/>
        <w:t xml:space="preserve">The review jurisdiction is also envisaged under </w:t>
      </w:r>
      <w:hyperlink r:id="rId29" w:history="1">
        <w:r>
          <w:rPr>
            <w:rStyle w:val="Hyperlink"/>
          </w:rPr>
          <w:t>Part VIII Order XL</w:t>
        </w:r>
      </w:hyperlink>
      <w:r>
        <w:t xml:space="preserve"> of the </w:t>
      </w:r>
      <w:hyperlink r:id="rId30" w:history="1">
        <w:r>
          <w:rPr>
            <w:rStyle w:val="Hyperlink"/>
          </w:rPr>
          <w:t>Supreme Court Rules, 1966</w:t>
        </w:r>
      </w:hyperlink>
      <w:r>
        <w:t>. </w:t>
      </w:r>
      <w:hyperlink r:id="rId31" w:history="1">
        <w:r>
          <w:rPr>
            <w:rStyle w:val="Emphasis"/>
            <w:color w:val="0000FF"/>
            <w:u w:val="single"/>
          </w:rPr>
          <w:t>Union of India v. Sandur Manganese &amp; Iron Ore Ltd.</w:t>
        </w:r>
      </w:hyperlink>
      <w:r>
        <w:t>, </w:t>
      </w:r>
    </w:p>
    <w:p w14:paraId="720D28FA" w14:textId="77777777" w:rsidR="00F5183B" w:rsidRDefault="00F5183B" w:rsidP="00940272">
      <w:pPr>
        <w:pStyle w:val="NormalWeb"/>
        <w:spacing w:before="0" w:beforeAutospacing="0" w:after="0" w:afterAutospacing="0"/>
        <w:jc w:val="both"/>
      </w:pPr>
      <w:r>
        <w:t xml:space="preserve">Article 137 also provides that the review jurisdiction of the Court is subject to the laws enacted by Parliament under </w:t>
      </w:r>
      <w:hyperlink r:id="rId32" w:anchor=":~:text=Central%20Government%20Act-,Article%20145%20in%20The%20Constitution%20Of%20India%201949,procedure%20of%20the%20Court%20including" w:history="1">
        <w:r>
          <w:rPr>
            <w:rStyle w:val="Hyperlink"/>
          </w:rPr>
          <w:t>Article 145</w:t>
        </w:r>
      </w:hyperlink>
      <w:r>
        <w:t xml:space="preserve">. Thus, the review jurisdiction of the Court is subject to </w:t>
      </w:r>
      <w:hyperlink r:id="rId33" w:history="1">
        <w:r>
          <w:rPr>
            <w:rStyle w:val="Hyperlink"/>
          </w:rPr>
          <w:t>Order XLVII Rule 1</w:t>
        </w:r>
      </w:hyperlink>
      <w:r>
        <w:t xml:space="preserve"> of the </w:t>
      </w:r>
      <w:hyperlink r:id="rId34" w:history="1">
        <w:r>
          <w:rPr>
            <w:rStyle w:val="Hyperlink"/>
          </w:rPr>
          <w:t>Code of Civil Procedure, 1908</w:t>
        </w:r>
      </w:hyperlink>
      <w:r>
        <w:t>. It provides for three grounds on which the review can be conducted. The grounds are</w:t>
      </w:r>
    </w:p>
    <w:p w14:paraId="7DEA016B" w14:textId="77777777" w:rsidR="00F5183B" w:rsidRDefault="00F5183B" w:rsidP="00940272">
      <w:pPr>
        <w:numPr>
          <w:ilvl w:val="0"/>
          <w:numId w:val="7"/>
        </w:numPr>
        <w:spacing w:after="0" w:line="240" w:lineRule="auto"/>
        <w:jc w:val="both"/>
      </w:pPr>
      <w:r>
        <w:rPr>
          <w:rStyle w:val="Strong"/>
        </w:rPr>
        <w:t>Discovery of new evidence</w:t>
      </w:r>
      <w:r>
        <w:t>: The aggrieved party may appeal for review upon the discovery of new important evidence. However, it is pertinent to note that the party applying for review has to show that such new evidence could not be discovered earlier despite the exercise of due diligence by the party. If it is shown that the evidence was undiscovered at an earlier stage due to the negligence of the party, then the application would fail. </w:t>
      </w:r>
    </w:p>
    <w:p w14:paraId="201F5309" w14:textId="42FF7497" w:rsidR="00F5183B" w:rsidRDefault="00F5183B" w:rsidP="00940272">
      <w:pPr>
        <w:numPr>
          <w:ilvl w:val="0"/>
          <w:numId w:val="7"/>
        </w:numPr>
        <w:spacing w:after="0" w:line="240" w:lineRule="auto"/>
        <w:jc w:val="both"/>
      </w:pPr>
      <w:r>
        <w:rPr>
          <w:rStyle w:val="Strong"/>
        </w:rPr>
        <w:t>Apparent error:</w:t>
      </w:r>
      <w:r>
        <w:t xml:space="preserve"> Where there is an “</w:t>
      </w:r>
      <w:r>
        <w:rPr>
          <w:rStyle w:val="Emphasis"/>
        </w:rPr>
        <w:t>error apparent on the face of the record,</w:t>
      </w:r>
      <w:r>
        <w:t xml:space="preserve">” then review can be permitted by the Court. The error must be a material one and should have adversely affected the appealing party. The error should be patently apparent without the need for any arguments. </w:t>
      </w:r>
      <w:hyperlink r:id="rId35" w:history="1">
        <w:r w:rsidRPr="00DA6B7E">
          <w:rPr>
            <w:rStyle w:val="Emphasis"/>
            <w:color w:val="0000FF"/>
            <w:u w:val="single"/>
          </w:rPr>
          <w:t>G.L.Gupta v. D.N. Mehta</w:t>
        </w:r>
      </w:hyperlink>
      <w:r>
        <w:rPr>
          <w:rStyle w:val="Emphasis"/>
        </w:rPr>
        <w:t xml:space="preserve"> </w:t>
      </w:r>
      <w:r>
        <w:t>(1971) </w:t>
      </w:r>
    </w:p>
    <w:p w14:paraId="6CC136F7" w14:textId="77777777" w:rsidR="00F5183B" w:rsidRDefault="00F5183B" w:rsidP="00940272">
      <w:pPr>
        <w:numPr>
          <w:ilvl w:val="0"/>
          <w:numId w:val="8"/>
        </w:numPr>
        <w:spacing w:after="0" w:line="240" w:lineRule="auto"/>
        <w:jc w:val="both"/>
      </w:pPr>
      <w:r>
        <w:rPr>
          <w:rStyle w:val="Strong"/>
        </w:rPr>
        <w:t>Any sufficient reason</w:t>
      </w:r>
      <w:r>
        <w:t>: Where the Court feels that there is sufficient reason for permitting the review, it may allow the review application of the aggrieved party.</w:t>
      </w:r>
    </w:p>
    <w:p w14:paraId="14ECD3EA" w14:textId="77777777" w:rsidR="00F5183B" w:rsidRDefault="00F5183B" w:rsidP="00940272">
      <w:pPr>
        <w:pStyle w:val="Heading1"/>
        <w:spacing w:before="0" w:beforeAutospacing="0" w:after="0" w:afterAutospacing="0"/>
        <w:jc w:val="both"/>
      </w:pPr>
      <w:r>
        <w:t>Inherent jurisdiction of Supreme Court</w:t>
      </w:r>
    </w:p>
    <w:p w14:paraId="2CE3A3CE" w14:textId="77777777" w:rsidR="00F5183B" w:rsidRPr="00F5183B" w:rsidRDefault="00F5183B" w:rsidP="00940272">
      <w:pPr>
        <w:spacing w:after="0" w:line="240" w:lineRule="auto"/>
        <w:jc w:val="both"/>
        <w:rPr>
          <w:rFonts w:ascii="Times New Roman" w:eastAsia="Times New Roman" w:hAnsi="Times New Roman" w:cs="Times New Roman"/>
          <w:sz w:val="24"/>
          <w:szCs w:val="24"/>
          <w:lang w:eastAsia="en-IN"/>
        </w:rPr>
      </w:pPr>
      <w:r w:rsidRPr="00F5183B">
        <w:rPr>
          <w:rFonts w:ascii="Times New Roman" w:eastAsia="Times New Roman" w:hAnsi="Times New Roman" w:cs="Times New Roman"/>
          <w:sz w:val="24"/>
          <w:szCs w:val="24"/>
          <w:lang w:eastAsia="en-IN"/>
        </w:rPr>
        <w:t xml:space="preserve">The Supreme Court of India also enjoys inherent jurisdiction. Under </w:t>
      </w:r>
      <w:hyperlink r:id="rId36" w:anchor=":~:text=136.,in%20the%20territory%20of%20India" w:history="1">
        <w:r w:rsidRPr="00F5183B">
          <w:rPr>
            <w:rFonts w:ascii="Times New Roman" w:eastAsia="Times New Roman" w:hAnsi="Times New Roman" w:cs="Times New Roman"/>
            <w:color w:val="0000FF"/>
            <w:sz w:val="24"/>
            <w:szCs w:val="24"/>
            <w:u w:val="single"/>
            <w:lang w:eastAsia="en-IN"/>
          </w:rPr>
          <w:t>Article 136</w:t>
        </w:r>
      </w:hyperlink>
      <w:r w:rsidRPr="00F5183B">
        <w:rPr>
          <w:rFonts w:ascii="Times New Roman" w:eastAsia="Times New Roman" w:hAnsi="Times New Roman" w:cs="Times New Roman"/>
          <w:sz w:val="24"/>
          <w:szCs w:val="24"/>
          <w:lang w:eastAsia="en-IN"/>
        </w:rPr>
        <w:t>, the Court has the power to hear an appeal against the judgment, decree, or order of any court or tribunal situated within the territorial limits of India. </w:t>
      </w:r>
    </w:p>
    <w:p w14:paraId="61B299CB" w14:textId="5CA99067" w:rsidR="00F5183B" w:rsidRPr="00F5183B" w:rsidRDefault="00F5183B" w:rsidP="00940272">
      <w:pPr>
        <w:spacing w:after="0" w:line="240" w:lineRule="auto"/>
        <w:jc w:val="both"/>
        <w:rPr>
          <w:rFonts w:ascii="Times New Roman" w:eastAsia="Times New Roman" w:hAnsi="Times New Roman" w:cs="Times New Roman"/>
          <w:sz w:val="24"/>
          <w:szCs w:val="24"/>
          <w:lang w:eastAsia="en-IN"/>
        </w:rPr>
      </w:pPr>
      <w:r w:rsidRPr="00F5183B">
        <w:rPr>
          <w:rFonts w:ascii="Times New Roman" w:eastAsia="Times New Roman" w:hAnsi="Times New Roman" w:cs="Times New Roman"/>
          <w:sz w:val="24"/>
          <w:szCs w:val="24"/>
          <w:lang w:eastAsia="en-IN"/>
        </w:rPr>
        <w:t xml:space="preserve">Furthermore, the Court has the power to punish for contempt under </w:t>
      </w:r>
      <w:hyperlink r:id="rId37" w:history="1">
        <w:r w:rsidRPr="00F5183B">
          <w:rPr>
            <w:rFonts w:ascii="Times New Roman" w:eastAsia="Times New Roman" w:hAnsi="Times New Roman" w:cs="Times New Roman"/>
            <w:color w:val="0000FF"/>
            <w:sz w:val="24"/>
            <w:szCs w:val="24"/>
            <w:u w:val="single"/>
            <w:lang w:eastAsia="en-IN"/>
          </w:rPr>
          <w:t>Article 229</w:t>
        </w:r>
      </w:hyperlink>
      <w:r w:rsidRPr="00F5183B">
        <w:rPr>
          <w:rFonts w:ascii="Times New Roman" w:eastAsia="Times New Roman" w:hAnsi="Times New Roman" w:cs="Times New Roman"/>
          <w:sz w:val="24"/>
          <w:szCs w:val="24"/>
          <w:lang w:eastAsia="en-IN"/>
        </w:rPr>
        <w:t xml:space="preserve">. The Court can take up a contest matter either by itself, i.e., suo moto, or on the recommendation of the Attorney or Solicitor General. Furthermore, any person can file a contempt petition before the Court.  </w:t>
      </w:r>
      <w:hyperlink r:id="rId38" w:history="1">
        <w:r w:rsidRPr="00F5183B">
          <w:rPr>
            <w:rFonts w:ascii="Times New Roman" w:eastAsia="Times New Roman" w:hAnsi="Times New Roman" w:cs="Times New Roman"/>
            <w:i/>
            <w:iCs/>
            <w:color w:val="0000FF"/>
            <w:sz w:val="24"/>
            <w:szCs w:val="24"/>
            <w:u w:val="single"/>
            <w:lang w:eastAsia="en-IN"/>
          </w:rPr>
          <w:t>Delhi Judicial Service Association v. State Of Gujarat</w:t>
        </w:r>
      </w:hyperlink>
      <w:r w:rsidRPr="00F5183B">
        <w:rPr>
          <w:rFonts w:ascii="Times New Roman" w:eastAsia="Times New Roman" w:hAnsi="Times New Roman" w:cs="Times New Roman"/>
          <w:sz w:val="24"/>
          <w:szCs w:val="24"/>
          <w:lang w:eastAsia="en-IN"/>
        </w:rPr>
        <w:t xml:space="preserve"> (1991),</w:t>
      </w:r>
      <w:r w:rsidRPr="00F5183B">
        <w:rPr>
          <w:rFonts w:ascii="Times New Roman" w:eastAsia="Times New Roman" w:hAnsi="Times New Roman" w:cs="Times New Roman"/>
          <w:i/>
          <w:iCs/>
          <w:sz w:val="24"/>
          <w:szCs w:val="24"/>
          <w:lang w:eastAsia="en-IN"/>
        </w:rPr>
        <w:t xml:space="preserve"> </w:t>
      </w:r>
      <w:r w:rsidRPr="00F5183B">
        <w:rPr>
          <w:rFonts w:ascii="Times New Roman" w:eastAsia="Times New Roman" w:hAnsi="Times New Roman" w:cs="Times New Roman"/>
          <w:sz w:val="24"/>
          <w:szCs w:val="24"/>
          <w:lang w:eastAsia="en-IN"/>
        </w:rPr>
        <w:t> </w:t>
      </w:r>
    </w:p>
    <w:p w14:paraId="1BC2FBB5" w14:textId="77777777" w:rsidR="00F5183B" w:rsidRPr="00F5183B" w:rsidRDefault="00F5183B" w:rsidP="00940272">
      <w:pPr>
        <w:spacing w:after="0" w:line="240" w:lineRule="auto"/>
        <w:jc w:val="both"/>
        <w:outlineLvl w:val="0"/>
        <w:rPr>
          <w:rFonts w:ascii="Times New Roman" w:eastAsia="Times New Roman" w:hAnsi="Times New Roman" w:cs="Times New Roman"/>
          <w:b/>
          <w:bCs/>
          <w:kern w:val="36"/>
          <w:sz w:val="48"/>
          <w:szCs w:val="48"/>
          <w:lang w:eastAsia="en-IN"/>
        </w:rPr>
      </w:pPr>
      <w:r w:rsidRPr="00F5183B">
        <w:rPr>
          <w:rFonts w:ascii="Times New Roman" w:eastAsia="Times New Roman" w:hAnsi="Times New Roman" w:cs="Times New Roman"/>
          <w:b/>
          <w:bCs/>
          <w:kern w:val="36"/>
          <w:sz w:val="48"/>
          <w:szCs w:val="48"/>
          <w:lang w:eastAsia="en-IN"/>
        </w:rPr>
        <w:t>Extraordinary jurisdiction of Supreme Court</w:t>
      </w:r>
    </w:p>
    <w:p w14:paraId="66AFBE51" w14:textId="0C5A90B0" w:rsidR="00F5183B" w:rsidRPr="00F5183B" w:rsidRDefault="00F5183B" w:rsidP="00940272">
      <w:pPr>
        <w:spacing w:after="0" w:line="240" w:lineRule="auto"/>
        <w:jc w:val="both"/>
        <w:rPr>
          <w:rFonts w:ascii="Times New Roman" w:eastAsia="Times New Roman" w:hAnsi="Times New Roman" w:cs="Times New Roman"/>
          <w:sz w:val="24"/>
          <w:szCs w:val="24"/>
          <w:lang w:eastAsia="en-IN"/>
        </w:rPr>
      </w:pPr>
      <w:r w:rsidRPr="00F5183B">
        <w:rPr>
          <w:rFonts w:ascii="Times New Roman" w:eastAsia="Times New Roman" w:hAnsi="Times New Roman" w:cs="Times New Roman"/>
          <w:sz w:val="24"/>
          <w:szCs w:val="24"/>
          <w:lang w:eastAsia="en-IN"/>
        </w:rPr>
        <w:t>The extraordinary jurisdiction of the Supreme Court refers to the power of the Court to entertain public interest litigation (PIL). India adopted the concept of PIL from American jurisprudence. A PIL can be filed by any socially aware person to secure the public interest. </w:t>
      </w:r>
      <w:hyperlink r:id="rId39" w:history="1">
        <w:r w:rsidRPr="00F5183B">
          <w:rPr>
            <w:rFonts w:ascii="Times New Roman" w:eastAsia="Times New Roman" w:hAnsi="Times New Roman" w:cs="Times New Roman"/>
            <w:i/>
            <w:iCs/>
            <w:color w:val="0000FF"/>
            <w:sz w:val="24"/>
            <w:szCs w:val="24"/>
            <w:u w:val="single"/>
            <w:lang w:eastAsia="en-IN"/>
          </w:rPr>
          <w:t>Hussainara Khatoon v. State of Bihar (1979)</w:t>
        </w:r>
      </w:hyperlink>
      <w:r w:rsidRPr="00F5183B">
        <w:rPr>
          <w:rFonts w:ascii="Times New Roman" w:eastAsia="Times New Roman" w:hAnsi="Times New Roman" w:cs="Times New Roman"/>
          <w:sz w:val="24"/>
          <w:szCs w:val="24"/>
          <w:lang w:eastAsia="en-IN"/>
        </w:rPr>
        <w:t xml:space="preserve">. </w:t>
      </w:r>
    </w:p>
    <w:p w14:paraId="7F252A26" w14:textId="77777777" w:rsidR="00F5183B" w:rsidRPr="00F5183B" w:rsidRDefault="00F5183B" w:rsidP="00940272">
      <w:pPr>
        <w:spacing w:after="0" w:line="240" w:lineRule="auto"/>
        <w:jc w:val="both"/>
        <w:outlineLvl w:val="0"/>
        <w:rPr>
          <w:rFonts w:ascii="Times New Roman" w:eastAsia="Times New Roman" w:hAnsi="Times New Roman" w:cs="Times New Roman"/>
          <w:b/>
          <w:bCs/>
          <w:kern w:val="36"/>
          <w:sz w:val="48"/>
          <w:szCs w:val="48"/>
          <w:lang w:eastAsia="en-IN"/>
        </w:rPr>
      </w:pPr>
      <w:r w:rsidRPr="00F5183B">
        <w:rPr>
          <w:rFonts w:ascii="Times New Roman" w:eastAsia="Times New Roman" w:hAnsi="Times New Roman" w:cs="Times New Roman"/>
          <w:b/>
          <w:bCs/>
          <w:kern w:val="36"/>
          <w:sz w:val="48"/>
          <w:szCs w:val="48"/>
          <w:lang w:eastAsia="en-IN"/>
        </w:rPr>
        <w:t>Powers of Supreme Court</w:t>
      </w:r>
    </w:p>
    <w:p w14:paraId="4FCEF641" w14:textId="77777777" w:rsidR="00F5183B" w:rsidRPr="00F5183B" w:rsidRDefault="00F5183B" w:rsidP="00940272">
      <w:pPr>
        <w:numPr>
          <w:ilvl w:val="0"/>
          <w:numId w:val="9"/>
        </w:numPr>
        <w:spacing w:after="0" w:line="240" w:lineRule="auto"/>
        <w:jc w:val="both"/>
        <w:rPr>
          <w:rFonts w:ascii="Times New Roman" w:eastAsia="Times New Roman" w:hAnsi="Times New Roman" w:cs="Times New Roman"/>
          <w:sz w:val="24"/>
          <w:szCs w:val="24"/>
          <w:lang w:eastAsia="en-IN"/>
        </w:rPr>
      </w:pPr>
      <w:r w:rsidRPr="00F5183B">
        <w:rPr>
          <w:rFonts w:ascii="Times New Roman" w:eastAsia="Times New Roman" w:hAnsi="Times New Roman" w:cs="Times New Roman"/>
          <w:sz w:val="24"/>
          <w:szCs w:val="24"/>
          <w:lang w:eastAsia="en-IN"/>
        </w:rPr>
        <w:t>The Supreme Court is empowered to interpret the Constitution and its interpretation is final. </w:t>
      </w:r>
    </w:p>
    <w:p w14:paraId="51C9FE98" w14:textId="77777777" w:rsidR="00F5183B" w:rsidRPr="00F5183B" w:rsidRDefault="00F5183B" w:rsidP="00940272">
      <w:pPr>
        <w:numPr>
          <w:ilvl w:val="0"/>
          <w:numId w:val="9"/>
        </w:numPr>
        <w:spacing w:after="0" w:line="240" w:lineRule="auto"/>
        <w:jc w:val="both"/>
        <w:rPr>
          <w:rFonts w:ascii="Times New Roman" w:eastAsia="Times New Roman" w:hAnsi="Times New Roman" w:cs="Times New Roman"/>
          <w:sz w:val="24"/>
          <w:szCs w:val="24"/>
          <w:lang w:eastAsia="en-IN"/>
        </w:rPr>
      </w:pPr>
      <w:hyperlink r:id="rId40" w:history="1">
        <w:r w:rsidRPr="00F5183B">
          <w:rPr>
            <w:rFonts w:ascii="Times New Roman" w:eastAsia="Times New Roman" w:hAnsi="Times New Roman" w:cs="Times New Roman"/>
            <w:color w:val="0000FF"/>
            <w:sz w:val="24"/>
            <w:szCs w:val="24"/>
            <w:u w:val="single"/>
            <w:lang w:eastAsia="en-IN"/>
          </w:rPr>
          <w:t>Article 141</w:t>
        </w:r>
      </w:hyperlink>
      <w:r w:rsidRPr="00F5183B">
        <w:rPr>
          <w:rFonts w:ascii="Times New Roman" w:eastAsia="Times New Roman" w:hAnsi="Times New Roman" w:cs="Times New Roman"/>
          <w:sz w:val="24"/>
          <w:szCs w:val="24"/>
          <w:lang w:eastAsia="en-IN"/>
        </w:rPr>
        <w:t xml:space="preserve"> of the Constitution provides a binding force to the laws declared by the Apex Court. The judgments of the Court have precedential value when dealing with the same question of law. Furthermore, the judgments of the Court have to be read as a whole. Even the ex-parte decisions of the Court are binding on the subordinate courts. </w:t>
      </w:r>
    </w:p>
    <w:p w14:paraId="4D38E509" w14:textId="77777777" w:rsidR="00F5183B" w:rsidRPr="00F5183B" w:rsidRDefault="00F5183B" w:rsidP="00940272">
      <w:pPr>
        <w:numPr>
          <w:ilvl w:val="0"/>
          <w:numId w:val="9"/>
        </w:numPr>
        <w:spacing w:after="0" w:line="240" w:lineRule="auto"/>
        <w:jc w:val="both"/>
        <w:rPr>
          <w:rFonts w:ascii="Times New Roman" w:eastAsia="Times New Roman" w:hAnsi="Times New Roman" w:cs="Times New Roman"/>
          <w:sz w:val="24"/>
          <w:szCs w:val="24"/>
          <w:lang w:eastAsia="en-IN"/>
        </w:rPr>
      </w:pPr>
      <w:r w:rsidRPr="00F5183B">
        <w:rPr>
          <w:rFonts w:ascii="Times New Roman" w:eastAsia="Times New Roman" w:hAnsi="Times New Roman" w:cs="Times New Roman"/>
          <w:sz w:val="24"/>
          <w:szCs w:val="24"/>
          <w:lang w:eastAsia="en-IN"/>
        </w:rPr>
        <w:t>The Supreme Court established the rules and procedures for its own functioning. Furthermore, the judges of the Apex Court are also appointed on the recommendation of the Court’s collegium.</w:t>
      </w:r>
    </w:p>
    <w:p w14:paraId="1AB75F9E" w14:textId="77777777" w:rsidR="00F5183B" w:rsidRPr="00F5183B" w:rsidRDefault="00F5183B" w:rsidP="00940272">
      <w:pPr>
        <w:numPr>
          <w:ilvl w:val="0"/>
          <w:numId w:val="9"/>
        </w:numPr>
        <w:spacing w:after="0" w:line="240" w:lineRule="auto"/>
        <w:jc w:val="both"/>
        <w:rPr>
          <w:rFonts w:ascii="Times New Roman" w:eastAsia="Times New Roman" w:hAnsi="Times New Roman" w:cs="Times New Roman"/>
          <w:sz w:val="24"/>
          <w:szCs w:val="24"/>
          <w:lang w:eastAsia="en-IN"/>
        </w:rPr>
      </w:pPr>
      <w:r w:rsidRPr="00F5183B">
        <w:rPr>
          <w:rFonts w:ascii="Times New Roman" w:eastAsia="Times New Roman" w:hAnsi="Times New Roman" w:cs="Times New Roman"/>
          <w:sz w:val="24"/>
          <w:szCs w:val="24"/>
          <w:lang w:eastAsia="en-IN"/>
        </w:rPr>
        <w:t>The Supreme Court has the power of judicial review. It can review the laws passed by the Legislature and can declare them void if they are found to be violating the fundamental rights or any other provision of the Constitution.</w:t>
      </w:r>
    </w:p>
    <w:p w14:paraId="07DBDF9B" w14:textId="77777777" w:rsidR="00F5183B" w:rsidRPr="00F5183B" w:rsidRDefault="00F5183B" w:rsidP="00940272">
      <w:pPr>
        <w:spacing w:after="0" w:line="240" w:lineRule="auto"/>
        <w:jc w:val="both"/>
        <w:rPr>
          <w:rFonts w:ascii="Times New Roman" w:eastAsia="Times New Roman" w:hAnsi="Times New Roman" w:cs="Times New Roman"/>
          <w:sz w:val="24"/>
          <w:szCs w:val="24"/>
          <w:lang w:eastAsia="en-IN"/>
        </w:rPr>
      </w:pPr>
      <w:r w:rsidRPr="00F5183B">
        <w:rPr>
          <w:rFonts w:ascii="Times New Roman" w:eastAsia="Times New Roman" w:hAnsi="Times New Roman" w:cs="Times New Roman"/>
          <w:sz w:val="24"/>
          <w:szCs w:val="24"/>
          <w:lang w:eastAsia="en-IN"/>
        </w:rPr>
        <w:t xml:space="preserve">Furthermore, </w:t>
      </w:r>
      <w:hyperlink r:id="rId41" w:history="1">
        <w:r w:rsidRPr="00F5183B">
          <w:rPr>
            <w:rFonts w:ascii="Times New Roman" w:eastAsia="Times New Roman" w:hAnsi="Times New Roman" w:cs="Times New Roman"/>
            <w:color w:val="0000FF"/>
            <w:sz w:val="24"/>
            <w:szCs w:val="24"/>
            <w:u w:val="single"/>
            <w:lang w:eastAsia="en-IN"/>
          </w:rPr>
          <w:t>Article 137</w:t>
        </w:r>
      </w:hyperlink>
      <w:r w:rsidRPr="00F5183B">
        <w:rPr>
          <w:rFonts w:ascii="Times New Roman" w:eastAsia="Times New Roman" w:hAnsi="Times New Roman" w:cs="Times New Roman"/>
          <w:sz w:val="24"/>
          <w:szCs w:val="24"/>
          <w:lang w:eastAsia="en-IN"/>
        </w:rPr>
        <w:t xml:space="preserve"> provides the Court with the power to review its own judgments and orders. </w:t>
      </w:r>
    </w:p>
    <w:p w14:paraId="191E016C" w14:textId="77777777" w:rsidR="00F5183B" w:rsidRPr="00F5183B" w:rsidRDefault="00F5183B" w:rsidP="00940272">
      <w:pPr>
        <w:numPr>
          <w:ilvl w:val="0"/>
          <w:numId w:val="10"/>
        </w:numPr>
        <w:spacing w:after="0" w:line="240" w:lineRule="auto"/>
        <w:jc w:val="both"/>
        <w:rPr>
          <w:rFonts w:ascii="Times New Roman" w:eastAsia="Times New Roman" w:hAnsi="Times New Roman" w:cs="Times New Roman"/>
          <w:sz w:val="24"/>
          <w:szCs w:val="24"/>
          <w:lang w:eastAsia="en-IN"/>
        </w:rPr>
      </w:pPr>
      <w:r w:rsidRPr="00F5183B">
        <w:rPr>
          <w:rFonts w:ascii="Times New Roman" w:eastAsia="Times New Roman" w:hAnsi="Times New Roman" w:cs="Times New Roman"/>
          <w:sz w:val="24"/>
          <w:szCs w:val="24"/>
          <w:lang w:eastAsia="en-IN"/>
        </w:rPr>
        <w:lastRenderedPageBreak/>
        <w:t>The Apex Court ensures that the fundamental rights of citizens are not violated and can also issue writs for the enforcement of fundamental rights.</w:t>
      </w:r>
    </w:p>
    <w:p w14:paraId="2F2943FB" w14:textId="77777777" w:rsidR="00F5183B" w:rsidRPr="00F5183B" w:rsidRDefault="00F5183B" w:rsidP="00940272">
      <w:pPr>
        <w:numPr>
          <w:ilvl w:val="0"/>
          <w:numId w:val="10"/>
        </w:numPr>
        <w:spacing w:after="0" w:line="240" w:lineRule="auto"/>
        <w:jc w:val="both"/>
        <w:rPr>
          <w:rFonts w:ascii="Times New Roman" w:eastAsia="Times New Roman" w:hAnsi="Times New Roman" w:cs="Times New Roman"/>
          <w:sz w:val="24"/>
          <w:szCs w:val="24"/>
          <w:lang w:eastAsia="en-IN"/>
        </w:rPr>
      </w:pPr>
      <w:r w:rsidRPr="00F5183B">
        <w:rPr>
          <w:rFonts w:ascii="Times New Roman" w:eastAsia="Times New Roman" w:hAnsi="Times New Roman" w:cs="Times New Roman"/>
          <w:sz w:val="24"/>
          <w:szCs w:val="24"/>
          <w:lang w:eastAsia="en-IN"/>
        </w:rPr>
        <w:t xml:space="preserve">The Court can punish those who refuse to abide by its orders or those who make scandalous and derogatory remarks against the Court. The Apex Court’s power to punish for its contempt is envisaged under </w:t>
      </w:r>
      <w:hyperlink r:id="rId42" w:history="1">
        <w:r w:rsidRPr="00F5183B">
          <w:rPr>
            <w:rFonts w:ascii="Times New Roman" w:eastAsia="Times New Roman" w:hAnsi="Times New Roman" w:cs="Times New Roman"/>
            <w:color w:val="0000FF"/>
            <w:sz w:val="24"/>
            <w:szCs w:val="24"/>
            <w:u w:val="single"/>
            <w:lang w:eastAsia="en-IN"/>
          </w:rPr>
          <w:t>Article 129</w:t>
        </w:r>
      </w:hyperlink>
      <w:r w:rsidRPr="00F5183B">
        <w:rPr>
          <w:rFonts w:ascii="Times New Roman" w:eastAsia="Times New Roman" w:hAnsi="Times New Roman" w:cs="Times New Roman"/>
          <w:sz w:val="24"/>
          <w:szCs w:val="24"/>
          <w:lang w:eastAsia="en-IN"/>
        </w:rPr>
        <w:t>. </w:t>
      </w:r>
    </w:p>
    <w:p w14:paraId="4E64780E" w14:textId="77777777" w:rsidR="00235206" w:rsidRDefault="00235206" w:rsidP="00235206">
      <w:pPr>
        <w:spacing w:after="0" w:line="240" w:lineRule="auto"/>
        <w:jc w:val="center"/>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High Courts</w:t>
      </w:r>
    </w:p>
    <w:p w14:paraId="75B8848A" w14:textId="3B39F08B" w:rsidR="00F5183B" w:rsidRPr="00F5183B" w:rsidRDefault="00F5183B" w:rsidP="00940272">
      <w:pPr>
        <w:spacing w:after="0" w:line="240" w:lineRule="auto"/>
        <w:jc w:val="both"/>
        <w:rPr>
          <w:rFonts w:ascii="Times New Roman" w:eastAsia="Times New Roman" w:hAnsi="Times New Roman" w:cs="Times New Roman"/>
          <w:sz w:val="24"/>
          <w:szCs w:val="24"/>
          <w:lang w:eastAsia="en-IN"/>
        </w:rPr>
      </w:pPr>
    </w:p>
    <w:p w14:paraId="4995AD38" w14:textId="77777777" w:rsidR="00F5183B" w:rsidRDefault="00F5183B" w:rsidP="00940272">
      <w:pPr>
        <w:pStyle w:val="NormalWeb"/>
        <w:spacing w:before="0" w:beforeAutospacing="0" w:after="0" w:afterAutospacing="0"/>
        <w:jc w:val="both"/>
      </w:pPr>
      <w:r>
        <w:tab/>
      </w:r>
      <w:r>
        <w:t>The High Courts of India are the highest judicial court in a every State and Union Territory. Articles 214 to 237 of the Constitution of India lay down the provisions of the High Courts. Article 214 deals with the establishment of High Courts in every state. High Courts have the power to exercise their original civil and criminal jurisdiction in any case, if the subordinate courts are not approved by the law to take up the matter due to the absence of financial or regional jurisdiction. There is a total of 25 High Courts in India.</w:t>
      </w:r>
    </w:p>
    <w:p w14:paraId="0E23262C" w14:textId="77777777" w:rsidR="00F5183B" w:rsidRDefault="00F5183B" w:rsidP="00940272">
      <w:pPr>
        <w:pStyle w:val="Heading2"/>
        <w:spacing w:before="0"/>
        <w:jc w:val="both"/>
      </w:pPr>
      <w:r>
        <w:t>History of High Courts in India</w:t>
      </w:r>
    </w:p>
    <w:p w14:paraId="757C1DE1" w14:textId="77777777" w:rsidR="00F5183B" w:rsidRDefault="00F5183B" w:rsidP="00940272">
      <w:pPr>
        <w:pStyle w:val="NormalWeb"/>
        <w:spacing w:before="0" w:beforeAutospacing="0" w:after="0" w:afterAutospacing="0"/>
        <w:jc w:val="both"/>
      </w:pPr>
      <w:r>
        <w:t>The history of High Courts in India dates back to the period of British Raj.  The British came to the country as traders, but once they established their hold over the Indian mainland, they became involved in the administration of the country. In 1858, on the recommendation of the Law Commission, the Parliament passed the Indian High Couty Act, 1861 which resulted in the establishment of the High Courts in the three Presidencies:</w:t>
      </w:r>
    </w:p>
    <w:p w14:paraId="35932DE9" w14:textId="77777777" w:rsidR="00F5183B" w:rsidRDefault="00F5183B" w:rsidP="00940272">
      <w:pPr>
        <w:pStyle w:val="NormalWeb"/>
        <w:numPr>
          <w:ilvl w:val="0"/>
          <w:numId w:val="11"/>
        </w:numPr>
        <w:spacing w:before="0" w:beforeAutospacing="0" w:after="0" w:afterAutospacing="0"/>
        <w:jc w:val="both"/>
      </w:pPr>
      <w:r>
        <w:t>Calcutta </w:t>
      </w:r>
    </w:p>
    <w:p w14:paraId="6A551025" w14:textId="77777777" w:rsidR="00F5183B" w:rsidRDefault="00F5183B" w:rsidP="00940272">
      <w:pPr>
        <w:pStyle w:val="NormalWeb"/>
        <w:numPr>
          <w:ilvl w:val="0"/>
          <w:numId w:val="11"/>
        </w:numPr>
        <w:spacing w:before="0" w:beforeAutospacing="0" w:after="0" w:afterAutospacing="0"/>
        <w:jc w:val="both"/>
      </w:pPr>
      <w:r>
        <w:t>Bombay </w:t>
      </w:r>
    </w:p>
    <w:p w14:paraId="5C5946BD" w14:textId="77777777" w:rsidR="00F5183B" w:rsidRDefault="00F5183B" w:rsidP="00940272">
      <w:pPr>
        <w:pStyle w:val="NormalWeb"/>
        <w:numPr>
          <w:ilvl w:val="0"/>
          <w:numId w:val="11"/>
        </w:numPr>
        <w:spacing w:before="0" w:beforeAutospacing="0" w:after="0" w:afterAutospacing="0"/>
        <w:jc w:val="both"/>
      </w:pPr>
      <w:r>
        <w:t>Madras</w:t>
      </w:r>
    </w:p>
    <w:p w14:paraId="67FB9EB1" w14:textId="77777777" w:rsidR="00F5183B" w:rsidRDefault="00F5183B" w:rsidP="00940272">
      <w:pPr>
        <w:pStyle w:val="NormalWeb"/>
        <w:spacing w:before="0" w:beforeAutospacing="0" w:after="0" w:afterAutospacing="0"/>
        <w:jc w:val="both"/>
      </w:pPr>
      <w:r>
        <w:t>The first High Court of the country, “The High Court of Judicature at Fort William” also known as the “High Court of Calcutta” was established by the Letters Patent dated 14th May 1862, which was issued under the Indian High Courts Act, 1861. The Charter of Bombay and Madras High Court were ordered on June, 1862. Through the Act, the Queen of England had the power to issue charters/letters patent to erect and establish High Courts of Calcutta, Bombay and Madras. Sir Barnes Peacock became the first Chief Justice of the Calcutta High Court in 1862. Later, Shri Sambhunath Pandit became the first Indian to be appointed as a judge of the Calcutta High Court, serving the position from 1863- 1867.</w:t>
      </w:r>
    </w:p>
    <w:p w14:paraId="3B03EAEE" w14:textId="77777777" w:rsidR="00F5183B" w:rsidRDefault="00F5183B" w:rsidP="00940272">
      <w:pPr>
        <w:pStyle w:val="NormalWeb"/>
        <w:spacing w:before="0" w:beforeAutospacing="0" w:after="0" w:afterAutospacing="0"/>
        <w:jc w:val="both"/>
      </w:pPr>
      <w:r>
        <w:t>The main reason for the implementation of the Indian High Courts Act was to have separate judiciary bodies for different states. Therefore, the British Government decided to abolish the then existing Sadar Adalat and the Supreme Court and replace it with High Courts.</w:t>
      </w:r>
    </w:p>
    <w:p w14:paraId="0454DDED" w14:textId="77777777" w:rsidR="00940272" w:rsidRDefault="00940272" w:rsidP="00940272">
      <w:pPr>
        <w:pStyle w:val="Heading3"/>
        <w:spacing w:before="0"/>
        <w:jc w:val="both"/>
      </w:pPr>
      <w:r w:rsidRPr="00D23816">
        <w:rPr>
          <w:sz w:val="32"/>
          <w:szCs w:val="24"/>
        </w:rPr>
        <w:t>High Court Jurisdiction</w:t>
      </w:r>
    </w:p>
    <w:p w14:paraId="46D28D3D" w14:textId="77777777" w:rsidR="00940272" w:rsidRDefault="00940272" w:rsidP="00940272">
      <w:pPr>
        <w:pStyle w:val="NormalWeb"/>
        <w:spacing w:before="0" w:beforeAutospacing="0" w:after="0" w:afterAutospacing="0"/>
        <w:jc w:val="both"/>
      </w:pPr>
      <w:r>
        <w:t xml:space="preserve">The High Court is the highest court of appeal in every state having the power to interpret the </w:t>
      </w:r>
      <w:hyperlink r:id="rId43" w:history="1">
        <w:r>
          <w:rPr>
            <w:rStyle w:val="Hyperlink"/>
            <w:b/>
            <w:bCs/>
          </w:rPr>
          <w:t>Constitution</w:t>
        </w:r>
      </w:hyperlink>
      <w:r>
        <w:t>. The High Court is considered to be the protector of the Fundamental Rights of the citizens, along with the supervisory and consultative roles. At present, a High Court enjoys the following jurisdictions:</w:t>
      </w:r>
    </w:p>
    <w:p w14:paraId="16813A37" w14:textId="77777777" w:rsidR="00940272" w:rsidRDefault="00940272" w:rsidP="00940272">
      <w:pPr>
        <w:pStyle w:val="NormalWeb"/>
        <w:numPr>
          <w:ilvl w:val="0"/>
          <w:numId w:val="12"/>
        </w:numPr>
        <w:spacing w:before="0" w:beforeAutospacing="0" w:after="0" w:afterAutospacing="0"/>
        <w:jc w:val="both"/>
      </w:pPr>
      <w:r>
        <w:t>Original Jurisdiction: Under Article 225, every High Court has original jurisdiction in revenue matters as well as those related to admiralty, contempt of court, probate, marriages. In such cases the applicant can directly approach the High Court and does not require to raise any appeal. </w:t>
      </w:r>
    </w:p>
    <w:p w14:paraId="76A30B19" w14:textId="77777777" w:rsidR="00940272" w:rsidRDefault="00940272" w:rsidP="00940272">
      <w:pPr>
        <w:pStyle w:val="NormalWeb"/>
        <w:numPr>
          <w:ilvl w:val="0"/>
          <w:numId w:val="12"/>
        </w:numPr>
        <w:spacing w:before="0" w:beforeAutospacing="0" w:after="0" w:afterAutospacing="0"/>
        <w:jc w:val="both"/>
      </w:pPr>
      <w:r>
        <w:t>Appellate Jurisdiction: It is for the cases where the applicant has raised a complaint challenging the judgement given by a subordinate court of that territory. This power is divided into two categories-</w:t>
      </w:r>
    </w:p>
    <w:p w14:paraId="67EDA3FB" w14:textId="77777777" w:rsidR="00940272" w:rsidRDefault="00940272" w:rsidP="00940272">
      <w:pPr>
        <w:pStyle w:val="NormalWeb"/>
        <w:numPr>
          <w:ilvl w:val="0"/>
          <w:numId w:val="13"/>
        </w:numPr>
        <w:spacing w:before="0" w:beforeAutospacing="0" w:after="0" w:afterAutospacing="0"/>
        <w:jc w:val="both"/>
      </w:pPr>
      <w:r>
        <w:t>Civil Jurisdiction-This includes the orders and judgement from the district, civil and subordinate courts.</w:t>
      </w:r>
    </w:p>
    <w:p w14:paraId="22B8D596" w14:textId="77777777" w:rsidR="00940272" w:rsidRDefault="00940272" w:rsidP="00940272">
      <w:pPr>
        <w:pStyle w:val="NormalWeb"/>
        <w:numPr>
          <w:ilvl w:val="0"/>
          <w:numId w:val="13"/>
        </w:numPr>
        <w:spacing w:before="0" w:beforeAutospacing="0" w:after="0" w:afterAutospacing="0"/>
        <w:jc w:val="both"/>
      </w:pPr>
      <w:r>
        <w:lastRenderedPageBreak/>
        <w:t>Criminal Jurisdiction- This includes the orders and judgements from the session and the additional sessions court.</w:t>
      </w:r>
    </w:p>
    <w:p w14:paraId="27E6A992" w14:textId="77777777" w:rsidR="00940272" w:rsidRDefault="00940272" w:rsidP="00940272">
      <w:pPr>
        <w:pStyle w:val="NormalWeb"/>
        <w:numPr>
          <w:ilvl w:val="0"/>
          <w:numId w:val="14"/>
        </w:numPr>
        <w:spacing w:before="0" w:beforeAutospacing="0" w:after="0" w:afterAutospacing="0"/>
        <w:jc w:val="both"/>
      </w:pPr>
      <w:r>
        <w:t>Writ Jurisdiction: Under Article 226 of the Constitution, the High Courts are vested with the rights to issue writs for the enforcement of the fundamental rights of the citizens. The different types of writs that the High Courts can issue are- </w:t>
      </w:r>
    </w:p>
    <w:p w14:paraId="570403DB" w14:textId="77777777" w:rsidR="00940272" w:rsidRDefault="00940272" w:rsidP="00940272">
      <w:pPr>
        <w:pStyle w:val="NormalWeb"/>
        <w:numPr>
          <w:ilvl w:val="0"/>
          <w:numId w:val="15"/>
        </w:numPr>
        <w:spacing w:before="0" w:beforeAutospacing="0" w:after="0" w:afterAutospacing="0"/>
        <w:jc w:val="both"/>
      </w:pPr>
      <w:r>
        <w:t>Habeas Corpus</w:t>
      </w:r>
    </w:p>
    <w:p w14:paraId="5014BCC7" w14:textId="77777777" w:rsidR="00940272" w:rsidRDefault="00940272" w:rsidP="00940272">
      <w:pPr>
        <w:pStyle w:val="NormalWeb"/>
        <w:numPr>
          <w:ilvl w:val="0"/>
          <w:numId w:val="15"/>
        </w:numPr>
        <w:spacing w:before="0" w:beforeAutospacing="0" w:after="0" w:afterAutospacing="0"/>
        <w:jc w:val="both"/>
      </w:pPr>
      <w:r>
        <w:t>Mandamus</w:t>
      </w:r>
    </w:p>
    <w:p w14:paraId="469AFE6D" w14:textId="77777777" w:rsidR="00940272" w:rsidRDefault="00940272" w:rsidP="00940272">
      <w:pPr>
        <w:pStyle w:val="NormalWeb"/>
        <w:numPr>
          <w:ilvl w:val="0"/>
          <w:numId w:val="15"/>
        </w:numPr>
        <w:spacing w:before="0" w:beforeAutospacing="0" w:after="0" w:afterAutospacing="0"/>
        <w:jc w:val="both"/>
      </w:pPr>
      <w:r>
        <w:t>Certiorari</w:t>
      </w:r>
    </w:p>
    <w:p w14:paraId="431F7729" w14:textId="77777777" w:rsidR="00940272" w:rsidRDefault="00940272" w:rsidP="00940272">
      <w:pPr>
        <w:pStyle w:val="NormalWeb"/>
        <w:numPr>
          <w:ilvl w:val="0"/>
          <w:numId w:val="15"/>
        </w:numPr>
        <w:spacing w:before="0" w:beforeAutospacing="0" w:after="0" w:afterAutospacing="0"/>
        <w:jc w:val="both"/>
      </w:pPr>
      <w:r>
        <w:t>Quo Warranto</w:t>
      </w:r>
    </w:p>
    <w:p w14:paraId="292B3863" w14:textId="77777777" w:rsidR="00940272" w:rsidRDefault="00940272" w:rsidP="00940272">
      <w:pPr>
        <w:pStyle w:val="NormalWeb"/>
        <w:numPr>
          <w:ilvl w:val="0"/>
          <w:numId w:val="15"/>
        </w:numPr>
        <w:spacing w:before="0" w:beforeAutospacing="0" w:after="0" w:afterAutospacing="0"/>
        <w:jc w:val="both"/>
      </w:pPr>
      <w:r>
        <w:t>Prohibition</w:t>
      </w:r>
    </w:p>
    <w:p w14:paraId="7A1EF54B" w14:textId="77777777" w:rsidR="00940272" w:rsidRDefault="00940272" w:rsidP="00940272">
      <w:pPr>
        <w:pStyle w:val="NormalWeb"/>
        <w:numPr>
          <w:ilvl w:val="0"/>
          <w:numId w:val="16"/>
        </w:numPr>
        <w:spacing w:before="0" w:beforeAutospacing="0" w:after="0" w:afterAutospacing="0"/>
        <w:jc w:val="both"/>
      </w:pPr>
      <w:r>
        <w:t>Power of Judicial Review: The High Courts are vested with the power of Judicial Review to examine the constitutionality of the legislative and executive orders of the central and state government. </w:t>
      </w:r>
    </w:p>
    <w:p w14:paraId="10B53B74" w14:textId="77777777" w:rsidR="00940272" w:rsidRDefault="00940272" w:rsidP="00940272">
      <w:pPr>
        <w:pStyle w:val="NormalWeb"/>
        <w:numPr>
          <w:ilvl w:val="0"/>
          <w:numId w:val="16"/>
        </w:numPr>
        <w:spacing w:before="0" w:beforeAutospacing="0" w:after="0" w:afterAutospacing="0"/>
        <w:jc w:val="both"/>
      </w:pPr>
      <w:r>
        <w:t>Control of the Subordinate Courts: Through this, the High Court can withdraw any pending case from the subordinate court if it involves the question of law. The case can be disposed of itself or the question of law can be solved and the case can return back to the same court.</w:t>
      </w:r>
    </w:p>
    <w:p w14:paraId="13B698B3" w14:textId="77777777" w:rsidR="00940272" w:rsidRDefault="00940272" w:rsidP="00940272">
      <w:pPr>
        <w:pStyle w:val="NormalWeb"/>
        <w:numPr>
          <w:ilvl w:val="0"/>
          <w:numId w:val="16"/>
        </w:numPr>
        <w:spacing w:before="0" w:beforeAutospacing="0" w:after="0" w:afterAutospacing="0"/>
        <w:jc w:val="both"/>
      </w:pPr>
      <w:r>
        <w:t>A Court of Record: This involves the recording of judgements, proceedings and acts of the High Courts. These records cannot be questioned in any other court.</w:t>
      </w:r>
    </w:p>
    <w:p w14:paraId="26FF3A6F" w14:textId="77777777" w:rsidR="00235206" w:rsidRPr="00235206" w:rsidRDefault="00235206" w:rsidP="00235206">
      <w:pPr>
        <w:spacing w:after="0" w:line="240" w:lineRule="auto"/>
        <w:jc w:val="center"/>
        <w:outlineLvl w:val="0"/>
        <w:rPr>
          <w:rFonts w:ascii="Times New Roman" w:eastAsia="Times New Roman" w:hAnsi="Times New Roman" w:cs="Times New Roman"/>
          <w:b/>
          <w:bCs/>
          <w:kern w:val="36"/>
          <w:sz w:val="48"/>
          <w:szCs w:val="48"/>
          <w:lang w:eastAsia="en-IN"/>
        </w:rPr>
      </w:pPr>
      <w:r w:rsidRPr="00235206">
        <w:rPr>
          <w:rFonts w:ascii="Times New Roman" w:eastAsia="Times New Roman" w:hAnsi="Times New Roman" w:cs="Times New Roman"/>
          <w:b/>
          <w:bCs/>
          <w:kern w:val="36"/>
          <w:sz w:val="48"/>
          <w:szCs w:val="48"/>
          <w:lang w:eastAsia="en-IN"/>
        </w:rPr>
        <w:t>Conclusion</w:t>
      </w:r>
    </w:p>
    <w:p w14:paraId="442963EF" w14:textId="0B2CB37C" w:rsidR="00940272" w:rsidRDefault="00235206" w:rsidP="00940272">
      <w:pPr>
        <w:pStyle w:val="NormalWeb"/>
        <w:spacing w:before="0" w:beforeAutospacing="0" w:after="0" w:afterAutospacing="0"/>
        <w:jc w:val="both"/>
      </w:pPr>
      <w:r w:rsidRPr="00F5183B">
        <w:t>The Supreme Court is at the top of the hierarchy of courts in India. It enjoys a wide jurisdiction and is responsible for ensuring the rule of law in the country and keeping a check on the excesses of the legislature and executive. It is clear that the Supreme Court was conferred with the jurisdiction that was enjoyed by the Federal Court as well as the Privy Council. Parliament can even further extend the wide jurisdiction of the Court. However, no Act of Parliament can curtail or limit the inherent jurisdiction of the Court.</w:t>
      </w:r>
      <w:r>
        <w:t xml:space="preserve"> </w:t>
      </w:r>
      <w:r w:rsidR="00940272">
        <w:t xml:space="preserve">High Courts are considered to have a wide scope as, not only, can they issue writs for the violation of the </w:t>
      </w:r>
      <w:hyperlink r:id="rId44" w:history="1">
        <w:r w:rsidR="00940272">
          <w:rPr>
            <w:rStyle w:val="Hyperlink"/>
            <w:b/>
            <w:bCs/>
          </w:rPr>
          <w:t>fundamental rights</w:t>
        </w:r>
      </w:hyperlink>
      <w:r w:rsidR="00940272">
        <w:t xml:space="preserve"> of the citizens, but also for violation of other legal rights as well. It is a court of record like the Supreme Court. A citizen can approach the High Court directly when there is a violation of any right. The High Courts have control over the subordinate courts as well as the tribunals except the Armed Forces matter.</w:t>
      </w:r>
    </w:p>
    <w:p w14:paraId="110DF6C1" w14:textId="20588541" w:rsidR="00BF6501" w:rsidRDefault="00BF6501" w:rsidP="00940272">
      <w:pPr>
        <w:tabs>
          <w:tab w:val="left" w:pos="3280"/>
        </w:tabs>
        <w:spacing w:after="0"/>
        <w:jc w:val="both"/>
      </w:pPr>
    </w:p>
    <w:sectPr w:rsidR="00BF6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7920"/>
    <w:multiLevelType w:val="multilevel"/>
    <w:tmpl w:val="4B74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A15B5"/>
    <w:multiLevelType w:val="multilevel"/>
    <w:tmpl w:val="D7C2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020E4"/>
    <w:multiLevelType w:val="multilevel"/>
    <w:tmpl w:val="21C4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B0993"/>
    <w:multiLevelType w:val="multilevel"/>
    <w:tmpl w:val="E9A4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548DE"/>
    <w:multiLevelType w:val="multilevel"/>
    <w:tmpl w:val="79B4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471EF"/>
    <w:multiLevelType w:val="multilevel"/>
    <w:tmpl w:val="4E045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6244E1"/>
    <w:multiLevelType w:val="multilevel"/>
    <w:tmpl w:val="59709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4273A7"/>
    <w:multiLevelType w:val="multilevel"/>
    <w:tmpl w:val="44DC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672E9"/>
    <w:multiLevelType w:val="multilevel"/>
    <w:tmpl w:val="6C38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20545"/>
    <w:multiLevelType w:val="multilevel"/>
    <w:tmpl w:val="AACE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737ED"/>
    <w:multiLevelType w:val="multilevel"/>
    <w:tmpl w:val="64B2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64472"/>
    <w:multiLevelType w:val="multilevel"/>
    <w:tmpl w:val="F930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E44B1A"/>
    <w:multiLevelType w:val="multilevel"/>
    <w:tmpl w:val="F05A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6B2928"/>
    <w:multiLevelType w:val="multilevel"/>
    <w:tmpl w:val="4282F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494B35"/>
    <w:multiLevelType w:val="multilevel"/>
    <w:tmpl w:val="07B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B1EB2"/>
    <w:multiLevelType w:val="multilevel"/>
    <w:tmpl w:val="B1BA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C02378"/>
    <w:multiLevelType w:val="multilevel"/>
    <w:tmpl w:val="D17A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924942">
    <w:abstractNumId w:val="15"/>
  </w:num>
  <w:num w:numId="2" w16cid:durableId="245461131">
    <w:abstractNumId w:val="6"/>
  </w:num>
  <w:num w:numId="3" w16cid:durableId="1166282260">
    <w:abstractNumId w:val="4"/>
  </w:num>
  <w:num w:numId="4" w16cid:durableId="1062102231">
    <w:abstractNumId w:val="2"/>
  </w:num>
  <w:num w:numId="5" w16cid:durableId="1714772389">
    <w:abstractNumId w:val="11"/>
  </w:num>
  <w:num w:numId="6" w16cid:durableId="1571769973">
    <w:abstractNumId w:val="14"/>
  </w:num>
  <w:num w:numId="7" w16cid:durableId="499857573">
    <w:abstractNumId w:val="1"/>
  </w:num>
  <w:num w:numId="8" w16cid:durableId="1457218560">
    <w:abstractNumId w:val="8"/>
  </w:num>
  <w:num w:numId="9" w16cid:durableId="378209997">
    <w:abstractNumId w:val="16"/>
  </w:num>
  <w:num w:numId="10" w16cid:durableId="631443069">
    <w:abstractNumId w:val="7"/>
  </w:num>
  <w:num w:numId="11" w16cid:durableId="1894920740">
    <w:abstractNumId w:val="9"/>
  </w:num>
  <w:num w:numId="12" w16cid:durableId="701706089">
    <w:abstractNumId w:val="12"/>
  </w:num>
  <w:num w:numId="13" w16cid:durableId="337195546">
    <w:abstractNumId w:val="13"/>
  </w:num>
  <w:num w:numId="14" w16cid:durableId="1332414553">
    <w:abstractNumId w:val="0"/>
  </w:num>
  <w:num w:numId="15" w16cid:durableId="15885880">
    <w:abstractNumId w:val="5"/>
  </w:num>
  <w:num w:numId="16" w16cid:durableId="807671433">
    <w:abstractNumId w:val="10"/>
  </w:num>
  <w:num w:numId="17" w16cid:durableId="841118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501"/>
    <w:rsid w:val="00235206"/>
    <w:rsid w:val="00524095"/>
    <w:rsid w:val="00940272"/>
    <w:rsid w:val="00BF6501"/>
    <w:rsid w:val="00D23816"/>
    <w:rsid w:val="00DA6B7E"/>
    <w:rsid w:val="00F5183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FDFA2"/>
  <w15:chartTrackingRefBased/>
  <w15:docId w15:val="{49D6F6D9-3A1C-49E9-897F-32E73E0DB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518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F5183B"/>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940272"/>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94027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83B"/>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F518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5183B"/>
    <w:rPr>
      <w:color w:val="0000FF"/>
      <w:u w:val="single"/>
    </w:rPr>
  </w:style>
  <w:style w:type="character" w:customStyle="1" w:styleId="Heading2Char">
    <w:name w:val="Heading 2 Char"/>
    <w:basedOn w:val="DefaultParagraphFont"/>
    <w:link w:val="Heading2"/>
    <w:uiPriority w:val="9"/>
    <w:semiHidden/>
    <w:rsid w:val="00F5183B"/>
    <w:rPr>
      <w:rFonts w:asciiTheme="majorHAnsi" w:eastAsiaTheme="majorEastAsia" w:hAnsiTheme="majorHAnsi" w:cstheme="majorBidi"/>
      <w:color w:val="2F5496" w:themeColor="accent1" w:themeShade="BF"/>
      <w:sz w:val="26"/>
      <w:szCs w:val="23"/>
    </w:rPr>
  </w:style>
  <w:style w:type="character" w:styleId="Emphasis">
    <w:name w:val="Emphasis"/>
    <w:basedOn w:val="DefaultParagraphFont"/>
    <w:uiPriority w:val="20"/>
    <w:qFormat/>
    <w:rsid w:val="00F5183B"/>
    <w:rPr>
      <w:i/>
      <w:iCs/>
    </w:rPr>
  </w:style>
  <w:style w:type="character" w:styleId="Strong">
    <w:name w:val="Strong"/>
    <w:basedOn w:val="DefaultParagraphFont"/>
    <w:uiPriority w:val="22"/>
    <w:qFormat/>
    <w:rsid w:val="00F5183B"/>
    <w:rPr>
      <w:b/>
      <w:bCs/>
    </w:rPr>
  </w:style>
  <w:style w:type="character" w:customStyle="1" w:styleId="Heading3Char">
    <w:name w:val="Heading 3 Char"/>
    <w:basedOn w:val="DefaultParagraphFont"/>
    <w:link w:val="Heading3"/>
    <w:uiPriority w:val="9"/>
    <w:semiHidden/>
    <w:rsid w:val="00940272"/>
    <w:rPr>
      <w:rFonts w:asciiTheme="majorHAnsi" w:eastAsiaTheme="majorEastAsia" w:hAnsiTheme="majorHAnsi" w:cstheme="majorBidi"/>
      <w:color w:val="1F3763" w:themeColor="accent1" w:themeShade="7F"/>
      <w:sz w:val="24"/>
      <w:szCs w:val="21"/>
    </w:rPr>
  </w:style>
  <w:style w:type="character" w:customStyle="1" w:styleId="Heading4Char">
    <w:name w:val="Heading 4 Char"/>
    <w:basedOn w:val="DefaultParagraphFont"/>
    <w:link w:val="Heading4"/>
    <w:uiPriority w:val="9"/>
    <w:semiHidden/>
    <w:rsid w:val="0094027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2352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50887">
      <w:bodyDiv w:val="1"/>
      <w:marLeft w:val="0"/>
      <w:marRight w:val="0"/>
      <w:marTop w:val="0"/>
      <w:marBottom w:val="0"/>
      <w:divBdr>
        <w:top w:val="none" w:sz="0" w:space="0" w:color="auto"/>
        <w:left w:val="none" w:sz="0" w:space="0" w:color="auto"/>
        <w:bottom w:val="none" w:sz="0" w:space="0" w:color="auto"/>
        <w:right w:val="none" w:sz="0" w:space="0" w:color="auto"/>
      </w:divBdr>
    </w:div>
    <w:div w:id="1122118970">
      <w:bodyDiv w:val="1"/>
      <w:marLeft w:val="0"/>
      <w:marRight w:val="0"/>
      <w:marTop w:val="0"/>
      <w:marBottom w:val="0"/>
      <w:divBdr>
        <w:top w:val="none" w:sz="0" w:space="0" w:color="auto"/>
        <w:left w:val="none" w:sz="0" w:space="0" w:color="auto"/>
        <w:bottom w:val="none" w:sz="0" w:space="0" w:color="auto"/>
        <w:right w:val="none" w:sz="0" w:space="0" w:color="auto"/>
      </w:divBdr>
    </w:div>
    <w:div w:id="1224171416">
      <w:bodyDiv w:val="1"/>
      <w:marLeft w:val="0"/>
      <w:marRight w:val="0"/>
      <w:marTop w:val="0"/>
      <w:marBottom w:val="0"/>
      <w:divBdr>
        <w:top w:val="none" w:sz="0" w:space="0" w:color="auto"/>
        <w:left w:val="none" w:sz="0" w:space="0" w:color="auto"/>
        <w:bottom w:val="none" w:sz="0" w:space="0" w:color="auto"/>
        <w:right w:val="none" w:sz="0" w:space="0" w:color="auto"/>
      </w:divBdr>
    </w:div>
    <w:div w:id="1328703323">
      <w:bodyDiv w:val="1"/>
      <w:marLeft w:val="0"/>
      <w:marRight w:val="0"/>
      <w:marTop w:val="0"/>
      <w:marBottom w:val="0"/>
      <w:divBdr>
        <w:top w:val="none" w:sz="0" w:space="0" w:color="auto"/>
        <w:left w:val="none" w:sz="0" w:space="0" w:color="auto"/>
        <w:bottom w:val="none" w:sz="0" w:space="0" w:color="auto"/>
        <w:right w:val="none" w:sz="0" w:space="0" w:color="auto"/>
      </w:divBdr>
    </w:div>
    <w:div w:id="1789617216">
      <w:bodyDiv w:val="1"/>
      <w:marLeft w:val="0"/>
      <w:marRight w:val="0"/>
      <w:marTop w:val="0"/>
      <w:marBottom w:val="0"/>
      <w:divBdr>
        <w:top w:val="none" w:sz="0" w:space="0" w:color="auto"/>
        <w:left w:val="none" w:sz="0" w:space="0" w:color="auto"/>
        <w:bottom w:val="none" w:sz="0" w:space="0" w:color="auto"/>
        <w:right w:val="none" w:sz="0" w:space="0" w:color="auto"/>
      </w:divBdr>
    </w:div>
    <w:div w:id="1841774605">
      <w:bodyDiv w:val="1"/>
      <w:marLeft w:val="0"/>
      <w:marRight w:val="0"/>
      <w:marTop w:val="0"/>
      <w:marBottom w:val="0"/>
      <w:divBdr>
        <w:top w:val="none" w:sz="0" w:space="0" w:color="auto"/>
        <w:left w:val="none" w:sz="0" w:space="0" w:color="auto"/>
        <w:bottom w:val="none" w:sz="0" w:space="0" w:color="auto"/>
        <w:right w:val="none" w:sz="0" w:space="0" w:color="auto"/>
      </w:divBdr>
    </w:div>
    <w:div w:id="1867672864">
      <w:bodyDiv w:val="1"/>
      <w:marLeft w:val="0"/>
      <w:marRight w:val="0"/>
      <w:marTop w:val="0"/>
      <w:marBottom w:val="0"/>
      <w:divBdr>
        <w:top w:val="none" w:sz="0" w:space="0" w:color="auto"/>
        <w:left w:val="none" w:sz="0" w:space="0" w:color="auto"/>
        <w:bottom w:val="none" w:sz="0" w:space="0" w:color="auto"/>
        <w:right w:val="none" w:sz="0" w:space="0" w:color="auto"/>
      </w:divBdr>
    </w:div>
    <w:div w:id="2118602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diankanoon.org/doc/981147/" TargetMode="External"/><Relationship Id="rId18" Type="http://schemas.openxmlformats.org/officeDocument/2006/relationships/hyperlink" Target="https://indiankanoon.org/doc/210155/" TargetMode="External"/><Relationship Id="rId26" Type="http://schemas.openxmlformats.org/officeDocument/2006/relationships/hyperlink" Target="https://indiankanoon.org/doc/660834/" TargetMode="External"/><Relationship Id="rId39" Type="http://schemas.openxmlformats.org/officeDocument/2006/relationships/hyperlink" Target="https://indiankanoon.org/doc/1373215/" TargetMode="External"/><Relationship Id="rId21" Type="http://schemas.openxmlformats.org/officeDocument/2006/relationships/hyperlink" Target="https://indiankanoon.org/doc/37494799/" TargetMode="External"/><Relationship Id="rId34" Type="http://schemas.openxmlformats.org/officeDocument/2006/relationships/hyperlink" Target="https://legislative.gov.in/sites/default/files/A1908-05.pdf" TargetMode="External"/><Relationship Id="rId42" Type="http://schemas.openxmlformats.org/officeDocument/2006/relationships/hyperlink" Target="https://indiankanoon.org/doc/927019/" TargetMode="External"/><Relationship Id="rId7" Type="http://schemas.openxmlformats.org/officeDocument/2006/relationships/hyperlink" Target="https://legislative.gov.in/sites/default/files/COI.pdf" TargetMode="External"/><Relationship Id="rId2" Type="http://schemas.openxmlformats.org/officeDocument/2006/relationships/styles" Target="styles.xml"/><Relationship Id="rId16" Type="http://schemas.openxmlformats.org/officeDocument/2006/relationships/hyperlink" Target="https://indiankanoon.org/doc/333273/" TargetMode="External"/><Relationship Id="rId29" Type="http://schemas.openxmlformats.org/officeDocument/2006/relationships/hyperlink" Target="https://indiankanoon.org/doc/106678696/" TargetMode="External"/><Relationship Id="rId1" Type="http://schemas.openxmlformats.org/officeDocument/2006/relationships/numbering" Target="numbering.xml"/><Relationship Id="rId6" Type="http://schemas.openxmlformats.org/officeDocument/2006/relationships/hyperlink" Target="https://indiankanoon.org/doc/1164880/" TargetMode="External"/><Relationship Id="rId11" Type="http://schemas.openxmlformats.org/officeDocument/2006/relationships/hyperlink" Target="https://indiankanoon.org/doc/559924/" TargetMode="External"/><Relationship Id="rId24" Type="http://schemas.openxmlformats.org/officeDocument/2006/relationships/hyperlink" Target="https://indiankanoon.org/doc/1325025/" TargetMode="External"/><Relationship Id="rId32" Type="http://schemas.openxmlformats.org/officeDocument/2006/relationships/hyperlink" Target="https://indiankanoon.org/doc/1537130/" TargetMode="External"/><Relationship Id="rId37" Type="http://schemas.openxmlformats.org/officeDocument/2006/relationships/hyperlink" Target="https://indiankanoon.org/doc/875627/" TargetMode="External"/><Relationship Id="rId40" Type="http://schemas.openxmlformats.org/officeDocument/2006/relationships/hyperlink" Target="https://indiankanoon.org/doc/882644/" TargetMode="External"/><Relationship Id="rId45" Type="http://schemas.openxmlformats.org/officeDocument/2006/relationships/fontTable" Target="fontTable.xml"/><Relationship Id="rId5" Type="http://schemas.openxmlformats.org/officeDocument/2006/relationships/hyperlink" Target="https://www.legislation.gov.uk/ukpga/1935/2/pdfs/ukpga_19350002_en.pdf" TargetMode="External"/><Relationship Id="rId15" Type="http://schemas.openxmlformats.org/officeDocument/2006/relationships/hyperlink" Target="https://indiankanoon.org/doc/1199182/" TargetMode="External"/><Relationship Id="rId23" Type="http://schemas.openxmlformats.org/officeDocument/2006/relationships/hyperlink" Target="https://indiankanoon.org/doc/783690/" TargetMode="External"/><Relationship Id="rId28" Type="http://schemas.openxmlformats.org/officeDocument/2006/relationships/hyperlink" Target="https://indiankanoon.org/doc/249731/" TargetMode="External"/><Relationship Id="rId36" Type="http://schemas.openxmlformats.org/officeDocument/2006/relationships/hyperlink" Target="https://indiankanoon.org/doc/427855/" TargetMode="External"/><Relationship Id="rId10" Type="http://schemas.openxmlformats.org/officeDocument/2006/relationships/hyperlink" Target="https://indiankanoon.org/doc/1558821/" TargetMode="External"/><Relationship Id="rId19" Type="http://schemas.openxmlformats.org/officeDocument/2006/relationships/hyperlink" Target="https://snappar.com/page/government-of-india-act-1935-repealed-section-213" TargetMode="External"/><Relationship Id="rId31" Type="http://schemas.openxmlformats.org/officeDocument/2006/relationships/hyperlink" Target="https://indiankanoon.org/doc/93595604/" TargetMode="External"/><Relationship Id="rId44" Type="http://schemas.openxmlformats.org/officeDocument/2006/relationships/hyperlink" Target="https://blog.finology.in/constitutional-developments/right-to-protest-India-fundamental-rights" TargetMode="External"/><Relationship Id="rId4" Type="http://schemas.openxmlformats.org/officeDocument/2006/relationships/webSettings" Target="webSettings.xml"/><Relationship Id="rId9" Type="http://schemas.openxmlformats.org/officeDocument/2006/relationships/hyperlink" Target="https://advocatetanmoy.com/2020/12/19/section-204-of-the-government-of-india-act-1935/" TargetMode="External"/><Relationship Id="rId14" Type="http://schemas.openxmlformats.org/officeDocument/2006/relationships/hyperlink" Target="https://www.india.gov.in/my-government/constitution-india/amendments/constitution-india-forty-fourth-amendment-act-1978" TargetMode="External"/><Relationship Id="rId22" Type="http://schemas.openxmlformats.org/officeDocument/2006/relationships/hyperlink" Target="https://indiankanoon.org/doc/161666/" TargetMode="External"/><Relationship Id="rId27" Type="http://schemas.openxmlformats.org/officeDocument/2006/relationships/hyperlink" Target="https://indiankanoon.org/doc/743851/" TargetMode="External"/><Relationship Id="rId30" Type="http://schemas.openxmlformats.org/officeDocument/2006/relationships/hyperlink" Target="https://indiankanoon.org/doc/106678696/" TargetMode="External"/><Relationship Id="rId35" Type="http://schemas.openxmlformats.org/officeDocument/2006/relationships/hyperlink" Target="https://indiankanoon.org/doc/50504/" TargetMode="External"/><Relationship Id="rId43" Type="http://schemas.openxmlformats.org/officeDocument/2006/relationships/hyperlink" Target="https://blog.finology.in/constitutional-developments/tips-tricks-to-remember-indian-constitution" TargetMode="External"/><Relationship Id="rId8" Type="http://schemas.openxmlformats.org/officeDocument/2006/relationships/hyperlink" Target="https://indiankanoon.org/doc/786824/" TargetMode="External"/><Relationship Id="rId3" Type="http://schemas.openxmlformats.org/officeDocument/2006/relationships/settings" Target="settings.xml"/><Relationship Id="rId12" Type="http://schemas.openxmlformats.org/officeDocument/2006/relationships/hyperlink" Target="https://indiankanoon.org/doc/895521/" TargetMode="External"/><Relationship Id="rId17" Type="http://schemas.openxmlformats.org/officeDocument/2006/relationships/hyperlink" Target="https://indiankanoon.org/doc/948250/" TargetMode="External"/><Relationship Id="rId25" Type="http://schemas.openxmlformats.org/officeDocument/2006/relationships/hyperlink" Target="https://www.casemine.com/judgement/in/56b49616607dba348f0168c9" TargetMode="External"/><Relationship Id="rId33" Type="http://schemas.openxmlformats.org/officeDocument/2006/relationships/hyperlink" Target="https://www.aaptaxlaw.com/code-of-civil-procedure/order-xlvii-code-of-civil-procedure-rule-1-2-3-4-5-6-7-8-9-review-order-47-of-cpc-1908-code-of-civil-procedure.html" TargetMode="External"/><Relationship Id="rId38" Type="http://schemas.openxmlformats.org/officeDocument/2006/relationships/hyperlink" Target="https://indiankanoon.org/doc/1496509/" TargetMode="External"/><Relationship Id="rId46" Type="http://schemas.openxmlformats.org/officeDocument/2006/relationships/theme" Target="theme/theme1.xml"/><Relationship Id="rId20" Type="http://schemas.openxmlformats.org/officeDocument/2006/relationships/hyperlink" Target="https://indiankanoon.org/doc/1481910/" TargetMode="External"/><Relationship Id="rId41" Type="http://schemas.openxmlformats.org/officeDocument/2006/relationships/hyperlink" Target="https://indiankanoon.org/doc/2497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2820</Words>
  <Characters>16079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Nilamani Panda</dc:creator>
  <cp:keywords/>
  <dc:description/>
  <cp:lastModifiedBy>Nilamani Panda</cp:lastModifiedBy>
  <cp:revision>2</cp:revision>
  <dcterms:created xsi:type="dcterms:W3CDTF">2022-08-31T06:52:00Z</dcterms:created>
  <dcterms:modified xsi:type="dcterms:W3CDTF">2022-08-31T07:20:00Z</dcterms:modified>
</cp:coreProperties>
</file>