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6b" w:val="clear"/>
            <w:tcMar>
              <w:top w:type="dxa" w:w="400"/>
              <w:left w:type="dxa" w:w="400"/>
              <w:bottom w:type="dxa" w:w="400"/>
              <w:right w:type="dxa" w:w="400"/>
            </w:tcMar>
          </w:tcPr>
          <w:p>
            <w:pPr>
              <w:spacing w:after="80"/>
              <w:jc w:val="center"/>
            </w:pPr>
            <w:r>
              <w:rPr>
                <w:rFonts w:ascii="Arial" w:cs="Arial" w:eastAsia="Arial" w:hAnsi="Arial"/>
                <w:b/>
                <w:bCs/>
                <w:color w:val="FFFFFF"/>
                <w:sz w:val="52"/>
                <w:szCs w:val="52"/>
              </w:rPr>
              <w:t xml:space="preserve">✈  VOYARA</w:t>
            </w:r>
          </w:p>
          <w:p>
            <w:pPr>
              <w:spacing w:after="60"/>
              <w:jc w:val="center"/>
            </w:pPr>
            <w:r>
              <w:rPr>
                <w:rFonts w:ascii="Arial" w:cs="Arial" w:eastAsia="Arial" w:hAnsi="Arial"/>
                <w:color w:val="A8BFEA"/>
                <w:sz w:val="32"/>
                <w:szCs w:val="32"/>
              </w:rPr>
              <w:t xml:space="preserve">Patent Claims Summary</w:t>
            </w:r>
          </w:p>
          <w:p>
            <w:pPr>
              <w:spacing w:after="40"/>
              <w:jc w:val="center"/>
            </w:pPr>
            <w:r>
              <w:rPr>
                <w:rFonts w:ascii="Arial" w:cs="Arial" w:eastAsia="Arial" w:hAnsi="Arial"/>
                <w:i/>
                <w:iCs/>
                <w:color w:val="7A9FD4"/>
                <w:sz w:val="20"/>
                <w:szCs w:val="20"/>
              </w:rPr>
              <w:t xml:space="preserve">Prepared for Attorney Review — Confidential</w:t>
            </w:r>
          </w:p>
          <w:p>
            <w:pPr>
              <w:jc w:val="center"/>
            </w:pPr>
            <w:r>
              <w:rPr>
                <w:rFonts w:ascii="Arial" w:cs="Arial" w:eastAsia="Arial" w:hAnsi="Arial"/>
                <w:color w:val="7A9FD4"/>
                <w:sz w:val="20"/>
                <w:szCs w:val="20"/>
              </w:rPr>
              <w:t xml:space="preserve">May 2026</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4"/>
              <w:left w:val="single" w:color="E87722" w:sz="4"/>
              <w:bottom w:val="single" w:color="E87722" w:sz="4"/>
              <w:right w:val="single" w:color="E87722" w:sz="4"/>
            </w:tcBorders>
            <w:shd w:fill="FFF8F0" w:val="clear"/>
            <w:tcMar>
              <w:top w:type="dxa" w:w="120"/>
              <w:left w:type="dxa" w:w="160"/>
              <w:bottom w:type="dxa" w:w="120"/>
              <w:right w:type="dxa" w:w="160"/>
            </w:tcMar>
          </w:tcPr>
          <w:p>
            <w:pPr>
              <w:spacing w:after="30" w:before="30"/>
            </w:pPr>
            <w:r>
              <w:rPr>
                <w:rFonts w:ascii="Arial" w:cs="Arial" w:eastAsia="Arial" w:hAnsi="Arial"/>
                <w:b/>
                <w:bCs/>
                <w:color w:val="8B4513"/>
                <w:sz w:val="22"/>
                <w:szCs w:val="22"/>
              </w:rPr>
              <w:t xml:space="preserve">⚠  IMPORTANT DISCLAIMER</w:t>
            </w:r>
          </w:p>
          <w:p>
            <w:pPr>
              <w:spacing w:after="30" w:before="30"/>
            </w:pPr>
            <w:r>
              <w:rPr>
                <w:rFonts w:ascii="Arial" w:cs="Arial" w:eastAsia="Arial" w:hAnsi="Arial"/>
                <w:color w:val="5a3010"/>
                <w:sz w:val="18"/>
                <w:szCs w:val="18"/>
              </w:rPr>
              <w:t xml:space="preserve">This document is a preliminary patent claims summary prepared for discussion purposes only. It does not constitute legal advice and has not been reviewed by a licensed patent attorney. All claims require professional legal review before filing with the USPTO. Prior art searches should be conducted by a qualified patent professional.</w:t>
            </w:r>
          </w:p>
        </w:tc>
      </w:tr>
    </w:tbl>
    <w:p>
      <w:pPr>
        <w:spacing w:after="0" w:before="0"/>
      </w:pPr>
      <w:r>
        <w:t xml:space="preserve"/>
      </w:r>
    </w:p>
    <w:p>
      <w:pPr>
        <w:pStyle w:val="Heading1"/>
        <w:spacing w:after="120" w:before="300"/>
      </w:pPr>
      <w:r>
        <w:rPr>
          <w:rFonts w:ascii="Arial" w:cs="Arial" w:eastAsia="Arial" w:hAnsi="Arial"/>
          <w:b/>
          <w:bCs/>
          <w:color w:val="1a3a6b"/>
          <w:sz w:val="32"/>
          <w:szCs w:val="32"/>
        </w:rPr>
        <w:t xml:space="preserve">1. Application Overview</w:t>
      </w:r>
    </w:p>
    <w:p>
      <w:pPr>
        <w:spacing w:after="60" w:before="60"/>
      </w:pPr>
      <w:r>
        <w:rPr>
          <w:rFonts w:ascii="Arial" w:cs="Arial" w:eastAsia="Arial" w:hAnsi="Arial"/>
          <w:color w:val="000000"/>
          <w:sz w:val="20"/>
          <w:szCs w:val="20"/>
        </w:rPr>
        <w:t xml:space="preserve">Voyara is a mobile travel planning application (React Native / Expo) designed for multi-family group travel. Unlike general-purpose trip planners, Voyara treats the "family unit" as the primary organizational entity — enabling distinct family groups to plan a shared trip with separate budgets, customized expense splits, and individualized accessibility requirements.</w:t>
      </w:r>
    </w:p>
    <w:p>
      <w:pPr>
        <w:spacing w:after="60" w:before="60"/>
      </w:pPr>
      <w:r>
        <w:rPr>
          <w:rFonts w:ascii="Arial" w:cs="Arial" w:eastAsia="Arial" w:hAnsi="Arial"/>
          <w:color w:val="000000"/>
          <w:sz w:val="20"/>
          <w:szCs w:val="20"/>
        </w:rPr>
        <w:t xml:space="preserve">The application supports three planning modes: self-directed (manual), AI-generated, and expert consultant-curated. It includes an integrated expense splitting system, a credit-based AI planning system, and an accessibility-aware traveler profile model.</w:t>
      </w:r>
    </w:p>
    <w:p>
      <w:pPr>
        <w:spacing w:after="0" w:before="0"/>
      </w:pPr>
      <w:r>
        <w:t xml:space="preserve"/>
      </w:r>
    </w:p>
    <w:p>
      <w:pPr>
        <w:pStyle w:val="Heading1"/>
        <w:spacing w:after="120" w:before="300"/>
      </w:pPr>
      <w:r>
        <w:rPr>
          <w:rFonts w:ascii="Arial" w:cs="Arial" w:eastAsia="Arial" w:hAnsi="Arial"/>
          <w:b/>
          <w:bCs/>
          <w:color w:val="1a3a6b"/>
          <w:sz w:val="32"/>
          <w:szCs w:val="32"/>
        </w:rPr>
        <w:t xml:space="preserve">2. Patentable Inventions</w:t>
      </w:r>
    </w:p>
    <w:p>
      <w:pPr>
        <w:spacing w:after="60" w:before="60"/>
      </w:pPr>
      <w:r>
        <w:rPr>
          <w:rFonts w:ascii="Arial" w:cs="Arial" w:eastAsia="Arial" w:hAnsi="Arial"/>
          <w:color w:val="000000"/>
          <w:sz w:val="20"/>
          <w:szCs w:val="20"/>
        </w:rPr>
        <w:t xml:space="preserve">Based on a review of the application architecture and a preliminary scan of the USPTO database, three inventions are identified as potentially patentable. They are ranked by estimated strength of claim.</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6"/>
              <w:left w:val="single" w:color="1a3a6b" w:sz="6"/>
              <w:bottom w:val="none" w:color="FFFFFF" w:sz="0"/>
              <w:right w:val="none" w:color="FFFFFF" w:sz="0"/>
            </w:tcBorders>
            <w:shd w:fill="E8EFF8" w:val="clear"/>
            <w:tcMar>
              <w:top w:type="dxa" w:w="120"/>
              <w:left w:type="dxa" w:w="160"/>
              <w:bottom w:type="dxa" w:w="120"/>
              <w:right w:type="dxa" w:w="160"/>
            </w:tcMar>
          </w:tcPr>
          <w:p>
            <w:r>
              <w:rPr>
                <w:rFonts w:ascii="Arial" w:cs="Arial" w:eastAsia="Arial" w:hAnsi="Arial"/>
                <w:b/>
                <w:bCs/>
                <w:color w:val="1a3a6b"/>
                <w:sz w:val="18"/>
                <w:szCs w:val="18"/>
              </w:rPr>
              <w:t xml:space="preserve">INVENTION 1  —  STRONGEST CLAIM</w:t>
            </w:r>
          </w:p>
        </w:tc>
      </w:tr>
    </w:tbl>
    <w:p>
      <w:pPr>
        <w:pStyle w:val="Heading2"/>
        <w:spacing w:after="100" w:before="240"/>
      </w:pPr>
      <w:r>
        <w:rPr>
          <w:rFonts w:ascii="Arial" w:cs="Arial" w:eastAsia="Arial" w:hAnsi="Arial"/>
          <w:b/>
          <w:bCs/>
          <w:color w:val="2563a8"/>
          <w:sz w:val="26"/>
          <w:szCs w:val="26"/>
        </w:rPr>
        <w:t xml:space="preserve">Family-Unit Travel Expense Allocation Method</w:t>
      </w:r>
    </w:p>
    <w:p>
      <w:pPr>
        <w:spacing w:after="60" w:before="80"/>
      </w:pPr>
      <w:r>
        <w:rPr>
          <w:rFonts w:ascii="Arial" w:cs="Arial" w:eastAsia="Arial" w:hAnsi="Arial"/>
          <w:color w:val="000000"/>
          <w:sz w:val="20"/>
          <w:szCs w:val="20"/>
        </w:rPr>
        <w:t xml:space="preserve">A computer-implemented method for allocating shared travel expenses among distinct family groups, where each expense record stores a set of participating family identifiers, a paying family identifier, and a split mode. Settlement computations operate at the family level rather than the individual level, producing a net balance for each family group that accounts for partial participation across multiple shared expenses.</w:t>
      </w:r>
    </w:p>
    <w:p>
      <w:pPr>
        <w:spacing w:after="80" w:before="180"/>
      </w:pPr>
      <w:r>
        <w:rPr>
          <w:rFonts w:ascii="Arial" w:cs="Arial" w:eastAsia="Arial" w:hAnsi="Arial"/>
          <w:b/>
          <w:bCs/>
          <w:color w:val="333333"/>
          <w:sz w:val="22"/>
          <w:szCs w:val="22"/>
        </w:rPr>
        <w:t xml:space="preserve">What Makes This Novel</w:t>
      </w:r>
    </w:p>
    <w:p>
      <w:pPr>
        <w:pStyle w:val="ListParagraph"/>
        <w:numPr>
          <w:ilvl w:val="0"/>
          <w:numId w:val="2"/>
        </w:numPr>
        <w:spacing w:after="40" w:before="40"/>
      </w:pPr>
      <w:r>
        <w:rPr>
          <w:rFonts w:ascii="Arial" w:cs="Arial" w:eastAsia="Arial" w:hAnsi="Arial"/>
          <w:sz w:val="20"/>
          <w:szCs w:val="20"/>
        </w:rPr>
        <w:t xml:space="preserve">All existing expense-splitting applications (Splitwise, Tricount, Tab) split costs at the individual traveler level. No prior art exists for a system that treats a family group as the atomic billing unit.</w:t>
      </w:r>
    </w:p>
    <w:p>
      <w:pPr>
        <w:pStyle w:val="ListParagraph"/>
        <w:numPr>
          <w:ilvl w:val="0"/>
          <w:numId w:val="2"/>
        </w:numPr>
        <w:spacing w:after="40" w:before="40"/>
      </w:pPr>
      <w:r>
        <w:rPr>
          <w:rFonts w:ascii="Arial" w:cs="Arial" w:eastAsia="Arial" w:hAnsi="Arial"/>
          <w:sz w:val="20"/>
          <w:szCs w:val="20"/>
        </w:rPr>
        <w:t xml:space="preserve">The "participatingFamilies" data structure — a per-expense inclusion/exclusion set keyed by family ID — is novel. Existing apps use all-or-nothing participant lists at the person level.</w:t>
      </w:r>
    </w:p>
    <w:p>
      <w:pPr>
        <w:pStyle w:val="ListParagraph"/>
        <w:numPr>
          <w:ilvl w:val="0"/>
          <w:numId w:val="2"/>
        </w:numPr>
        <w:spacing w:after="40" w:before="40"/>
      </w:pPr>
      <w:r>
        <w:rPr>
          <w:rFonts w:ascii="Arial" w:cs="Arial" w:eastAsia="Arial" w:hAnsi="Arial"/>
          <w:sz w:val="20"/>
          <w:szCs w:val="20"/>
        </w:rPr>
        <w:t xml:space="preserve">The dual-mode split logic (equal split across participating families vs. proportional split by family size) operating on family units has no known prior implementation in travel expense software.</w:t>
      </w:r>
    </w:p>
    <w:p>
      <w:pPr>
        <w:spacing w:after="80" w:before="180"/>
      </w:pPr>
      <w:r>
        <w:rPr>
          <w:rFonts w:ascii="Arial" w:cs="Arial" w:eastAsia="Arial" w:hAnsi="Arial"/>
          <w:b/>
          <w:bCs/>
          <w:color w:val="333333"/>
          <w:sz w:val="22"/>
          <w:szCs w:val="22"/>
        </w:rPr>
        <w:t xml:space="preserve">Preliminary Prior Art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Prior Art</w:t>
            </w:r>
          </w:p>
        </w:tc>
        <w:tc>
          <w:tcPr>
            <w:tcW w:type="dxa" w:w="318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What It Does</w:t>
            </w:r>
          </w:p>
        </w:tc>
        <w:tc>
          <w:tcPr>
            <w:tcW w:type="dxa" w:w="318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Why It Doesn't Anticipate</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color w:val="000000"/>
                <w:sz w:val="20"/>
                <w:szCs w:val="20"/>
              </w:rPr>
              <w:t xml:space="preserve">Splitwise</w:t>
            </w:r>
          </w:p>
        </w:tc>
        <w:tc>
          <w:tcPr>
            <w:tcW w:type="dxa" w:w="31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color w:val="000000"/>
                <w:sz w:val="20"/>
                <w:szCs w:val="20"/>
              </w:rPr>
              <w:t xml:space="preserve">Splits expenses by individual person</w:t>
            </w:r>
          </w:p>
        </w:tc>
        <w:tc>
          <w:tcPr>
            <w:tcW w:type="dxa" w:w="31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color w:val="000000"/>
                <w:sz w:val="20"/>
                <w:szCs w:val="20"/>
              </w:rPr>
              <w:t xml:space="preserve">No concept of family group as billing unit</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color w:val="000000"/>
                <w:sz w:val="20"/>
                <w:szCs w:val="20"/>
              </w:rPr>
              <w:t xml:space="preserve">Tricount</w:t>
            </w:r>
          </w:p>
        </w:tc>
        <w:tc>
          <w:tcPr>
            <w:tcW w:type="dxa" w:w="31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color w:val="000000"/>
                <w:sz w:val="20"/>
                <w:szCs w:val="20"/>
              </w:rPr>
              <w:t xml:space="preserve">Splits among named individuals</w:t>
            </w:r>
          </w:p>
        </w:tc>
        <w:tc>
          <w:tcPr>
            <w:tcW w:type="dxa" w:w="31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color w:val="000000"/>
                <w:sz w:val="20"/>
                <w:szCs w:val="20"/>
              </w:rPr>
              <w:t xml:space="preserve">No hierarchical family grouping</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color w:val="000000"/>
                <w:sz w:val="20"/>
                <w:szCs w:val="20"/>
              </w:rPr>
              <w:t xml:space="preserve">Wanderlog</w:t>
            </w:r>
          </w:p>
        </w:tc>
        <w:tc>
          <w:tcPr>
            <w:tcW w:type="dxa" w:w="31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color w:val="000000"/>
                <w:sz w:val="20"/>
                <w:szCs w:val="20"/>
              </w:rPr>
              <w:t xml:space="preserve">Manual collaborative trip planning</w:t>
            </w:r>
          </w:p>
        </w:tc>
        <w:tc>
          <w:tcPr>
            <w:tcW w:type="dxa" w:w="31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color w:val="000000"/>
                <w:sz w:val="20"/>
                <w:szCs w:val="20"/>
              </w:rPr>
              <w:t xml:space="preserve">No expense splitting functionality</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color w:val="000000"/>
                <w:sz w:val="20"/>
                <w:szCs w:val="20"/>
              </w:rPr>
              <w:t xml:space="preserve">TripIt</w:t>
            </w:r>
          </w:p>
        </w:tc>
        <w:tc>
          <w:tcPr>
            <w:tcW w:type="dxa" w:w="31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color w:val="000000"/>
                <w:sz w:val="20"/>
                <w:szCs w:val="20"/>
              </w:rPr>
              <w:t xml:space="preserve">Booking organizer</w:t>
            </w:r>
          </w:p>
        </w:tc>
        <w:tc>
          <w:tcPr>
            <w:tcW w:type="dxa" w:w="31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color w:val="000000"/>
                <w:sz w:val="20"/>
                <w:szCs w:val="20"/>
              </w:rPr>
              <w:t xml:space="preserve">No expense splitting at all</w:t>
            </w:r>
          </w:p>
        </w:tc>
      </w:tr>
    </w:tbl>
    <w:p>
      <w:pPr>
        <w:spacing w:after="80" w:before="180"/>
      </w:pPr>
      <w:r>
        <w:rPr>
          <w:rFonts w:ascii="Arial" w:cs="Arial" w:eastAsia="Arial" w:hAnsi="Arial"/>
          <w:b/>
          <w:bCs/>
          <w:color w:val="333333"/>
          <w:sz w:val="22"/>
          <w:szCs w:val="22"/>
        </w:rPr>
        <w:t xml:space="preserve">Claim Types to File</w:t>
      </w:r>
    </w:p>
    <w:p>
      <w:pPr>
        <w:pStyle w:val="ListParagraph"/>
        <w:numPr>
          <w:ilvl w:val="0"/>
          <w:numId w:val="2"/>
        </w:numPr>
        <w:spacing w:after="40" w:before="40"/>
      </w:pPr>
      <w:r>
        <w:rPr>
          <w:rFonts w:ascii="Arial" w:cs="Arial" w:eastAsia="Arial" w:hAnsi="Arial"/>
          <w:sz w:val="20"/>
          <w:szCs w:val="20"/>
        </w:rPr>
        <w:t xml:space="preserve">Method claim: steps of receiving expense input, associating participating family IDs, computing per-family share, generating settlement instructions</w:t>
      </w:r>
    </w:p>
    <w:p>
      <w:pPr>
        <w:pStyle w:val="ListParagraph"/>
        <w:numPr>
          <w:ilvl w:val="0"/>
          <w:numId w:val="2"/>
        </w:numPr>
        <w:spacing w:after="40" w:before="40"/>
      </w:pPr>
      <w:r>
        <w:rPr>
          <w:rFonts w:ascii="Arial" w:cs="Arial" w:eastAsia="Arial" w:hAnsi="Arial"/>
          <w:sz w:val="20"/>
          <w:szCs w:val="20"/>
        </w:rPr>
        <w:t xml:space="preserve">System claim: data model with family entities, member entities, expense entities with participatingFamilies field, and settlement computation engine</w:t>
      </w:r>
    </w:p>
    <w:p>
      <w:pPr>
        <w:pStyle w:val="ListParagraph"/>
        <w:numPr>
          <w:ilvl w:val="0"/>
          <w:numId w:val="2"/>
        </w:numPr>
        <w:spacing w:after="40" w:before="40"/>
      </w:pPr>
      <w:r>
        <w:rPr>
          <w:rFonts w:ascii="Arial" w:cs="Arial" w:eastAsia="Arial" w:hAnsi="Arial"/>
          <w:sz w:val="20"/>
          <w:szCs w:val="20"/>
        </w:rPr>
        <w:t xml:space="preserve">Dependent claims: proportional split by family size, itinerary-linked auto-expenses, multi-currency settlement</w:t>
      </w:r>
    </w:p>
    <w:p>
      <w:pPr>
        <w:spacing w:after="0" w:before="0"/>
      </w:pPr>
      <w:r>
        <w:t xml:space="preserve"/>
      </w:r>
    </w:p>
    <w:p>
      <w:pPr>
        <w:pBdr>
          <w:bottom w:val="single" w:color="CCCCCC" w:sz="4" w:space="1"/>
        </w:pBdr>
        <w:spacing w:after="12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b" w:sz="6"/>
              <w:left w:val="single" w:color="1a3a6b" w:sz="6"/>
              <w:bottom w:val="none" w:color="FFFFFF" w:sz="0"/>
              <w:right w:val="none" w:color="FFFFFF" w:sz="0"/>
            </w:tcBorders>
            <w:shd w:fill="E8EFF8" w:val="clear"/>
            <w:tcMar>
              <w:top w:type="dxa" w:w="120"/>
              <w:left w:type="dxa" w:w="160"/>
              <w:bottom w:type="dxa" w:w="120"/>
              <w:right w:type="dxa" w:w="160"/>
            </w:tcMar>
          </w:tcPr>
          <w:p>
            <w:r>
              <w:rPr>
                <w:rFonts w:ascii="Arial" w:cs="Arial" w:eastAsia="Arial" w:hAnsi="Arial"/>
                <w:b/>
                <w:bCs/>
                <w:color w:val="1a3a6b"/>
                <w:sz w:val="18"/>
                <w:szCs w:val="18"/>
              </w:rPr>
              <w:t xml:space="preserve">INVENTION 2  —  STRONG CLAIM</w:t>
            </w:r>
          </w:p>
        </w:tc>
      </w:tr>
    </w:tbl>
    <w:p>
      <w:pPr>
        <w:pStyle w:val="Heading2"/>
        <w:spacing w:after="100" w:before="240"/>
      </w:pPr>
      <w:r>
        <w:rPr>
          <w:rFonts w:ascii="Arial" w:cs="Arial" w:eastAsia="Arial" w:hAnsi="Arial"/>
          <w:b/>
          <w:bCs/>
          <w:color w:val="2563a8"/>
          <w:sz w:val="26"/>
          <w:szCs w:val="26"/>
        </w:rPr>
        <w:t xml:space="preserve">Composition-Aware AI Itinerary Credit Estimation System</w:t>
      </w:r>
    </w:p>
    <w:p>
      <w:pPr>
        <w:spacing w:after="60" w:before="80"/>
      </w:pPr>
      <w:r>
        <w:rPr>
          <w:rFonts w:ascii="Arial" w:cs="Arial" w:eastAsia="Arial" w:hAnsi="Arial"/>
          <w:color w:val="000000"/>
          <w:sz w:val="20"/>
          <w:szCs w:val="20"/>
        </w:rPr>
        <w:t xml:space="preserve">A system and method for estimating computational resource credits required to generate an AI travel itinerary, wherein the credit estimate is a function of trip duration, adult traveler count, child traveler count, and traveler accessibility need count — each weighted differently to reflect the complexity of AI generation. Users receive a pre-generation credit estimate, can purchase credits, and are debited upon successful generation.</w:t>
      </w:r>
    </w:p>
    <w:p>
      <w:pPr>
        <w:spacing w:after="80" w:before="180"/>
      </w:pPr>
      <w:r>
        <w:rPr>
          <w:rFonts w:ascii="Arial" w:cs="Arial" w:eastAsia="Arial" w:hAnsi="Arial"/>
          <w:b/>
          <w:bCs/>
          <w:color w:val="333333"/>
          <w:sz w:val="22"/>
          <w:szCs w:val="22"/>
        </w:rPr>
        <w:t xml:space="preserve">What Makes This Novel</w:t>
      </w:r>
    </w:p>
    <w:p>
      <w:pPr>
        <w:pStyle w:val="ListParagraph"/>
        <w:numPr>
          <w:ilvl w:val="0"/>
          <w:numId w:val="2"/>
        </w:numPr>
        <w:spacing w:after="40" w:before="40"/>
      </w:pPr>
      <w:r>
        <w:rPr>
          <w:rFonts w:ascii="Arial" w:cs="Arial" w:eastAsia="Arial" w:hAnsi="Arial"/>
          <w:sz w:val="20"/>
          <w:szCs w:val="20"/>
        </w:rPr>
        <w:t xml:space="preserve">No travel planning application uses a credit-based model for AI itinerary generation. All competitors use flat subscriptions or free unlimited generation.</w:t>
      </w:r>
    </w:p>
    <w:p>
      <w:pPr>
        <w:pStyle w:val="ListParagraph"/>
        <w:numPr>
          <w:ilvl w:val="0"/>
          <w:numId w:val="2"/>
        </w:numPr>
        <w:spacing w:after="40" w:before="40"/>
      </w:pPr>
      <w:r>
        <w:rPr>
          <w:rFonts w:ascii="Arial" w:cs="Arial" w:eastAsia="Arial" w:hAnsi="Arial"/>
          <w:sz w:val="20"/>
          <w:szCs w:val="20"/>
        </w:rPr>
        <w:t xml:space="preserve">The formula — base + (days x 3) + (adults x 3) + (children x 1) + (accessibilityNeeds x 2) — is a novel composition-aware pricing function where accessibility requirements explicitly increase generation cost, reflecting the additional planning complexity they entail.</w:t>
      </w:r>
    </w:p>
    <w:p>
      <w:pPr>
        <w:pStyle w:val="ListParagraph"/>
        <w:numPr>
          <w:ilvl w:val="0"/>
          <w:numId w:val="2"/>
        </w:numPr>
        <w:spacing w:after="40" w:before="40"/>
      </w:pPr>
      <w:r>
        <w:rPr>
          <w:rFonts w:ascii="Arial" w:cs="Arial" w:eastAsia="Arial" w:hAnsi="Arial"/>
          <w:sz w:val="20"/>
          <w:szCs w:val="20"/>
        </w:rPr>
        <w:t xml:space="preserve">The pre-generation credit estimate UI pattern (showing breakdown by cost component before committing credits) is novel in the travel planning domain.</w:t>
      </w:r>
    </w:p>
    <w:p>
      <w:pPr>
        <w:pStyle w:val="ListParagraph"/>
        <w:numPr>
          <w:ilvl w:val="0"/>
          <w:numId w:val="2"/>
        </w:numPr>
        <w:spacing w:after="40" w:before="40"/>
      </w:pPr>
      <w:r>
        <w:rPr>
          <w:rFonts w:ascii="Arial" w:cs="Arial" w:eastAsia="Arial" w:hAnsi="Arial"/>
          <w:sz w:val="20"/>
          <w:szCs w:val="20"/>
        </w:rPr>
        <w:t xml:space="preserve">Giving users free credits on account creation as a trial mechanism for AI trip generation has no known prior implementation in travel apps.</w:t>
      </w:r>
    </w:p>
    <w:p>
      <w:pPr>
        <w:spacing w:after="80" w:before="180"/>
      </w:pPr>
      <w:r>
        <w:rPr>
          <w:rFonts w:ascii="Arial" w:cs="Arial" w:eastAsia="Arial" w:hAnsi="Arial"/>
          <w:b/>
          <w:bCs/>
          <w:color w:val="333333"/>
          <w:sz w:val="22"/>
          <w:szCs w:val="22"/>
        </w:rPr>
        <w:t xml:space="preserve">Claim Types to File</w:t>
      </w:r>
    </w:p>
    <w:p>
      <w:pPr>
        <w:pStyle w:val="ListParagraph"/>
        <w:numPr>
          <w:ilvl w:val="0"/>
          <w:numId w:val="2"/>
        </w:numPr>
        <w:spacing w:after="40" w:before="40"/>
      </w:pPr>
      <w:r>
        <w:rPr>
          <w:rFonts w:ascii="Arial" w:cs="Arial" w:eastAsia="Arial" w:hAnsi="Arial"/>
          <w:sz w:val="20"/>
          <w:szCs w:val="20"/>
        </w:rPr>
        <w:t xml:space="preserve">Method claim: receiving trip composition input, computing credit estimate via weighted formula, displaying itemized breakdown, deducting credits upon generation</w:t>
      </w:r>
    </w:p>
    <w:p>
      <w:pPr>
        <w:pStyle w:val="ListParagraph"/>
        <w:numPr>
          <w:ilvl w:val="0"/>
          <w:numId w:val="2"/>
        </w:numPr>
        <w:spacing w:after="40" w:before="40"/>
      </w:pPr>
      <w:r>
        <w:rPr>
          <w:rFonts w:ascii="Arial" w:cs="Arial" w:eastAsia="Arial" w:hAnsi="Arial"/>
          <w:sz w:val="20"/>
          <w:szCs w:val="20"/>
        </w:rPr>
        <w:t xml:space="preserve">System claim: user credit account, credit estimation engine, trip composition input interface, credit deduction module</w:t>
      </w:r>
    </w:p>
    <w:p>
      <w:pPr>
        <w:pStyle w:val="ListParagraph"/>
        <w:numPr>
          <w:ilvl w:val="0"/>
          <w:numId w:val="2"/>
        </w:numPr>
        <w:spacing w:after="40" w:before="40"/>
      </w:pPr>
      <w:r>
        <w:rPr>
          <w:rFonts w:ascii="Arial" w:cs="Arial" w:eastAsia="Arial" w:hAnsi="Arial"/>
          <w:sz w:val="20"/>
          <w:szCs w:val="20"/>
        </w:rPr>
        <w:t xml:space="preserve">Dependent claims: free credit grant on account creation, credit insufficiency warning with purchase prompt, per-component breakdown display</w:t>
      </w:r>
    </w:p>
    <w:p>
      <w:pPr>
        <w:spacing w:after="0" w:before="0"/>
      </w:pPr>
      <w:r>
        <w:t xml:space="preserve"/>
      </w:r>
    </w:p>
    <w:p>
      <w:pPr>
        <w:pBdr>
          <w:bottom w:val="single" w:color="CCCCCC" w:sz="4" w:space="1"/>
        </w:pBdr>
        <w:spacing w:after="12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7280" w:sz="6"/>
              <w:left w:val="single" w:color="6B7280" w:sz="6"/>
              <w:bottom w:val="none" w:color="FFFFFF" w:sz="0"/>
              <w:right w:val="none" w:color="FFFFFF" w:sz="0"/>
            </w:tcBorders>
            <w:shd w:fill="F3F4F6" w:val="clear"/>
            <w:tcMar>
              <w:top w:type="dxa" w:w="120"/>
              <w:left w:type="dxa" w:w="160"/>
              <w:bottom w:type="dxa" w:w="120"/>
              <w:right w:type="dxa" w:w="160"/>
            </w:tcMar>
          </w:tcPr>
          <w:p>
            <w:r>
              <w:rPr>
                <w:rFonts w:ascii="Arial" w:cs="Arial" w:eastAsia="Arial" w:hAnsi="Arial"/>
                <w:b/>
                <w:bCs/>
                <w:color w:val="4B5563"/>
                <w:sz w:val="18"/>
                <w:szCs w:val="18"/>
              </w:rPr>
              <w:t xml:space="preserve">INVENTION 3  —  MODERATE CLAIM (EXPLORE WITH ATTORNEY)</w:t>
            </w:r>
          </w:p>
        </w:tc>
      </w:tr>
    </w:tbl>
    <w:p>
      <w:pPr>
        <w:pStyle w:val="Heading2"/>
        <w:spacing w:after="100" w:before="240"/>
      </w:pPr>
      <w:r>
        <w:rPr>
          <w:rFonts w:ascii="Arial" w:cs="Arial" w:eastAsia="Arial" w:hAnsi="Arial"/>
          <w:b/>
          <w:bCs/>
          <w:color w:val="2563a8"/>
          <w:sz w:val="26"/>
          <w:szCs w:val="26"/>
        </w:rPr>
        <w:t xml:space="preserve">Unified Multi-Mode Travel Planning System</w:t>
      </w:r>
    </w:p>
    <w:p>
      <w:pPr>
        <w:spacing w:after="60" w:before="80"/>
      </w:pPr>
      <w:r>
        <w:rPr>
          <w:rFonts w:ascii="Arial" w:cs="Arial" w:eastAsia="Arial" w:hAnsi="Arial"/>
          <w:color w:val="000000"/>
          <w:sz w:val="20"/>
          <w:szCs w:val="20"/>
        </w:rPr>
        <w:t xml:space="preserve">A travel planning system providing a single unified trip data structure supporting three mutually exclusive planning modes — self-directed, AI-generated, and expert consultant — each with mode-specific UI rendering guards, while sharing a common itinerary, expense, and traveler data model across all modes.</w:t>
      </w:r>
    </w:p>
    <w:p>
      <w:pPr>
        <w:spacing w:after="80" w:before="180"/>
      </w:pPr>
      <w:r>
        <w:rPr>
          <w:rFonts w:ascii="Arial" w:cs="Arial" w:eastAsia="Arial" w:hAnsi="Arial"/>
          <w:b/>
          <w:bCs/>
          <w:color w:val="333333"/>
          <w:sz w:val="22"/>
          <w:szCs w:val="22"/>
        </w:rPr>
        <w:t xml:space="preserve">What Makes This Novel</w:t>
      </w:r>
    </w:p>
    <w:p>
      <w:pPr>
        <w:pStyle w:val="ListParagraph"/>
        <w:numPr>
          <w:ilvl w:val="0"/>
          <w:numId w:val="2"/>
        </w:numPr>
        <w:spacing w:after="40" w:before="40"/>
      </w:pPr>
      <w:r>
        <w:rPr>
          <w:rFonts w:ascii="Arial" w:cs="Arial" w:eastAsia="Arial" w:hAnsi="Arial"/>
          <w:sz w:val="20"/>
          <w:szCs w:val="20"/>
        </w:rPr>
        <w:t xml:space="preserve">No travel application combines manual planning, AI generation, and human expert consulting under one unified data model with seamless mode switching.</w:t>
      </w:r>
    </w:p>
    <w:p>
      <w:pPr>
        <w:pStyle w:val="ListParagraph"/>
        <w:numPr>
          <w:ilvl w:val="0"/>
          <w:numId w:val="2"/>
        </w:numPr>
        <w:spacing w:after="40" w:before="40"/>
      </w:pPr>
      <w:r>
        <w:rPr>
          <w:rFonts w:ascii="Arial" w:cs="Arial" w:eastAsia="Arial" w:hAnsi="Arial"/>
          <w:sz w:val="20"/>
          <w:szCs w:val="20"/>
        </w:rPr>
        <w:t xml:space="preserve">The "mode guard" pattern — rendering different UI components and enforcing different access controls based on the trip's planning mode flag — while preserving the same underlying data schema is novel.</w:t>
      </w:r>
    </w:p>
    <w:p>
      <w:pPr>
        <w:spacing w:after="80" w:before="180"/>
      </w:pPr>
      <w:r>
        <w:rPr>
          <w:rFonts w:ascii="Arial" w:cs="Arial" w:eastAsia="Arial" w:hAnsi="Arial"/>
          <w:b/>
          <w:bCs/>
          <w:color w:val="333333"/>
          <w:sz w:val="22"/>
          <w:szCs w:val="22"/>
        </w:rPr>
        <w:t xml:space="preserve">Attorney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4"/>
              <w:left w:val="single" w:color="9CA3AF" w:sz="4"/>
              <w:bottom w:val="single" w:color="9CA3AF" w:sz="4"/>
              <w:right w:val="single" w:color="9CA3AF" w:sz="4"/>
            </w:tcBorders>
            <w:shd w:fill="F9FAFB" w:val="clear"/>
            <w:tcMar>
              <w:top w:type="dxa" w:w="120"/>
              <w:left w:type="dxa" w:w="160"/>
              <w:bottom w:type="dxa" w:w="120"/>
              <w:right w:type="dxa" w:w="160"/>
            </w:tcMar>
          </w:tcPr>
          <w:p>
            <w:pPr>
              <w:spacing w:after="30" w:before="30"/>
            </w:pPr>
            <w:r>
              <w:rPr>
                <w:rFonts w:ascii="Arial" w:cs="Arial" w:eastAsia="Arial" w:hAnsi="Arial"/>
                <w:color w:val="4B5563"/>
                <w:sz w:val="18"/>
                <w:szCs w:val="18"/>
              </w:rPr>
              <w:t xml:space="preserve">This invention is more likely to face an abstract idea challenge under Alice Corp. v. CLS Bank (2014). The claim must be framed around the specific technical implementation of the mode-aware rendering system and shared data model — not the business concept of offering three service tiers. Discuss framing strategy with your patent attorney before filing.</w:t>
            </w:r>
          </w:p>
        </w:tc>
      </w:tr>
    </w:tbl>
    <w:p>
      <w:pPr>
        <w:spacing w:after="0" w:before="0"/>
      </w:pPr>
      <w:r>
        <w:t xml:space="preserve"/>
      </w:r>
    </w:p>
    <w:p>
      <w:pPr>
        <w:spacing w:after="0" w:before="0"/>
      </w:pPr>
      <w:r>
        <w:t xml:space="preserve"/>
      </w:r>
    </w:p>
    <w:p>
      <w:pPr>
        <w:pStyle w:val="Heading1"/>
        <w:spacing w:after="120" w:before="300"/>
      </w:pPr>
      <w:r>
        <w:rPr>
          <w:rFonts w:ascii="Arial" w:cs="Arial" w:eastAsia="Arial" w:hAnsi="Arial"/>
          <w:b/>
          <w:bCs/>
          <w:color w:val="1a3a6b"/>
          <w:sz w:val="32"/>
          <w:szCs w:val="32"/>
        </w:rPr>
        <w:t xml:space="preserve">3. What Cannot Be Patented</w:t>
      </w:r>
    </w:p>
    <w:p>
      <w:pPr>
        <w:spacing w:after="60" w:before="60"/>
      </w:pPr>
      <w:r>
        <w:rPr>
          <w:rFonts w:ascii="Arial" w:cs="Arial" w:eastAsia="Arial" w:hAnsi="Arial"/>
          <w:color w:val="000000"/>
          <w:sz w:val="20"/>
          <w:szCs w:val="20"/>
        </w:rPr>
        <w:t xml:space="preserve">The following elements of Voyara are NOT patentable and should be protected through other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Element</w:t>
            </w:r>
          </w:p>
        </w:tc>
        <w:tc>
          <w:tcPr>
            <w:tcW w:type="dxa" w:w="318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Why Not Patentable</w:t>
            </w:r>
          </w:p>
        </w:tc>
        <w:tc>
          <w:tcPr>
            <w:tcW w:type="dxa" w:w="318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How to Protect It</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color w:val="000000"/>
                <w:sz w:val="20"/>
                <w:szCs w:val="20"/>
              </w:rPr>
              <w:t xml:space="preserve">UI/UX design, visual layout</w:t>
            </w:r>
          </w:p>
        </w:tc>
        <w:tc>
          <w:tcPr>
            <w:tcW w:type="dxa" w:w="31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color w:val="000000"/>
                <w:sz w:val="20"/>
                <w:szCs w:val="20"/>
              </w:rPr>
              <w:t xml:space="preserve">Not a patent — trade dress</w:t>
            </w:r>
          </w:p>
        </w:tc>
        <w:tc>
          <w:tcPr>
            <w:tcW w:type="dxa" w:w="31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color w:val="000000"/>
                <w:sz w:val="20"/>
                <w:szCs w:val="20"/>
              </w:rPr>
              <w:t xml:space="preserve">Trade dress registration, copyright</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color w:val="000000"/>
                <w:sz w:val="20"/>
                <w:szCs w:val="20"/>
              </w:rPr>
              <w:t xml:space="preserve">Source code</w:t>
            </w:r>
          </w:p>
        </w:tc>
        <w:tc>
          <w:tcPr>
            <w:tcW w:type="dxa" w:w="31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color w:val="000000"/>
                <w:sz w:val="20"/>
                <w:szCs w:val="20"/>
              </w:rPr>
              <w:t xml:space="preserve">Not a patent — copyright</w:t>
            </w:r>
          </w:p>
        </w:tc>
        <w:tc>
          <w:tcPr>
            <w:tcW w:type="dxa" w:w="31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color w:val="000000"/>
                <w:sz w:val="20"/>
                <w:szCs w:val="20"/>
              </w:rPr>
              <w:t xml:space="preserve">Automatic copyright, keep private</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color w:val="000000"/>
                <w:sz w:val="20"/>
                <w:szCs w:val="20"/>
              </w:rPr>
              <w:t xml:space="preserve">"Free credits on signup" business model</w:t>
            </w:r>
          </w:p>
        </w:tc>
        <w:tc>
          <w:tcPr>
            <w:tcW w:type="dxa" w:w="31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color w:val="000000"/>
                <w:sz w:val="20"/>
                <w:szCs w:val="20"/>
              </w:rPr>
              <w:t xml:space="preserve">Too abstract — pure business method</w:t>
            </w:r>
          </w:p>
        </w:tc>
        <w:tc>
          <w:tcPr>
            <w:tcW w:type="dxa" w:w="31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color w:val="000000"/>
                <w:sz w:val="20"/>
                <w:szCs w:val="20"/>
              </w:rPr>
              <w:t xml:space="preserve">First-mover advantage, trade secret</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color w:val="000000"/>
                <w:sz w:val="20"/>
                <w:szCs w:val="20"/>
              </w:rPr>
              <w:t xml:space="preserve">AI travel planning generally</w:t>
            </w:r>
          </w:p>
        </w:tc>
        <w:tc>
          <w:tcPr>
            <w:tcW w:type="dxa" w:w="31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color w:val="000000"/>
                <w:sz w:val="20"/>
                <w:szCs w:val="20"/>
              </w:rPr>
              <w:t xml:space="preserve">USPTO 12,345,534 filed July 2025</w:t>
            </w:r>
          </w:p>
        </w:tc>
        <w:tc>
          <w:tcPr>
            <w:tcW w:type="dxa" w:w="31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color w:val="000000"/>
                <w:sz w:val="20"/>
                <w:szCs w:val="20"/>
              </w:rPr>
              <w:t xml:space="preserve">Differentiate via composition-aware formula</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color w:val="000000"/>
                <w:sz w:val="20"/>
                <w:szCs w:val="20"/>
              </w:rPr>
              <w:t xml:space="preserve">"Voyara" brand name</w:t>
            </w:r>
          </w:p>
        </w:tc>
        <w:tc>
          <w:tcPr>
            <w:tcW w:type="dxa" w:w="31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color w:val="000000"/>
                <w:sz w:val="20"/>
                <w:szCs w:val="20"/>
              </w:rPr>
              <w:t xml:space="preserve">Not a patent — trademark</w:t>
            </w:r>
          </w:p>
        </w:tc>
        <w:tc>
          <w:tcPr>
            <w:tcW w:type="dxa" w:w="31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color w:val="000000"/>
                <w:sz w:val="20"/>
                <w:szCs w:val="20"/>
              </w:rPr>
              <w:t xml:space="preserve">Trademark registration (USPTO)</w:t>
            </w:r>
          </w:p>
        </w:tc>
      </w:tr>
    </w:tbl>
    <w:p>
      <w:pPr>
        <w:spacing w:after="0" w:before="0"/>
      </w:pPr>
      <w:r>
        <w:t xml:space="preserve"/>
      </w:r>
    </w:p>
    <w:p>
      <w:pPr>
        <w:spacing w:after="0" w:before="0"/>
      </w:pPr>
      <w:r>
        <w:t xml:space="preserve"/>
      </w:r>
    </w:p>
    <w:p>
      <w:pPr>
        <w:pStyle w:val="Heading1"/>
        <w:spacing w:after="120" w:before="300"/>
      </w:pPr>
      <w:r>
        <w:rPr>
          <w:rFonts w:ascii="Arial" w:cs="Arial" w:eastAsia="Arial" w:hAnsi="Arial"/>
          <w:b/>
          <w:bCs/>
          <w:color w:val="1a3a6b"/>
          <w:sz w:val="32"/>
          <w:szCs w:val="32"/>
        </w:rPr>
        <w:t xml:space="preserve">4. Recommended Filing Strategy</w:t>
      </w:r>
    </w:p>
    <w:p>
      <w:pPr>
        <w:spacing w:after="60" w:before="60"/>
      </w:pPr>
      <w:r>
        <w:rPr>
          <w:rFonts w:ascii="Arial" w:cs="Arial" w:eastAsia="Arial" w:hAnsi="Arial"/>
          <w:color w:val="000000"/>
          <w:sz w:val="20"/>
          <w:szCs w:val="20"/>
        </w:rPr>
        <w:t xml:space="preserve">The following sequence is recommended to protect Voyara's inventions at minimum cost while preserving all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80"/>
        <w:gridCol w:w="2880"/>
      </w:tblGrid>
      <w:tr>
        <w:tc>
          <w:tcPr>
            <w:tcW w:type="dxa" w:w="180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Timeline</w:t>
            </w:r>
          </w:p>
        </w:tc>
        <w:tc>
          <w:tcPr>
            <w:tcW w:type="dxa" w:w="180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Action</w:t>
            </w:r>
          </w:p>
        </w:tc>
        <w:tc>
          <w:tcPr>
            <w:tcW w:type="dxa" w:w="288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Cost (Approx.)</w:t>
            </w:r>
          </w:p>
        </w:tc>
        <w:tc>
          <w:tcPr>
            <w:tcW w:type="dxa" w:w="2880"/>
            <w:tcBorders>
              <w:top w:val="single" w:color="CCCCCC" w:sz="1"/>
              <w:left w:val="single" w:color="CCCCCC" w:sz="1"/>
              <w:bottom w:val="single" w:color="CCCCCC" w:sz="1"/>
              <w:right w:val="single" w:color="CCCCCC" w:sz="1"/>
            </w:tcBorders>
            <w:shd w:fill="D0DCF0" w:val="clear"/>
            <w:tcMar>
              <w:top w:type="dxa" w:w="100"/>
              <w:left w:type="dxa" w:w="140"/>
              <w:bottom w:type="dxa" w:w="100"/>
              <w:right w:type="dxa" w:w="140"/>
            </w:tcMar>
            <w:vAlign w:val="top"/>
          </w:tcPr>
          <w:p>
            <w:pPr>
              <w:jc w:val="left"/>
            </w:pPr>
            <w:r>
              <w:rPr>
                <w:rFonts w:ascii="Arial" w:cs="Arial" w:eastAsia="Arial" w:hAnsi="Arial"/>
                <w:b/>
                <w:bCs/>
                <w:color w:val="000000"/>
                <w:sz w:val="20"/>
                <w:szCs w:val="20"/>
              </w:rPr>
              <w:t xml:space="preserve">Purpose</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color w:val="000000"/>
                <w:sz w:val="20"/>
                <w:szCs w:val="20"/>
              </w:rPr>
              <w:t xml:space="preserve">Now</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color w:val="000000"/>
                <w:sz w:val="20"/>
                <w:szCs w:val="20"/>
              </w:rPr>
              <w:t xml:space="preserve">File Provisional Patent</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color w:val="000000"/>
                <w:sz w:val="20"/>
                <w:szCs w:val="20"/>
              </w:rPr>
              <w:t xml:space="preserve">$320 USPTO (small entity)</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color w:val="000000"/>
                <w:sz w:val="20"/>
                <w:szCs w:val="20"/>
              </w:rPr>
              <w:t xml:space="preserve">Establishes priority date; 12 months "Patent Pending"</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color w:val="000000"/>
                <w:sz w:val="20"/>
                <w:szCs w:val="20"/>
              </w:rPr>
              <w:t xml:space="preserve">Now</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color w:val="000000"/>
                <w:sz w:val="20"/>
                <w:szCs w:val="20"/>
              </w:rPr>
              <w:t xml:space="preserve">Trademark "Voyara"</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color w:val="000000"/>
                <w:sz w:val="20"/>
                <w:szCs w:val="20"/>
              </w:rPr>
              <w:t xml:space="preserve">$250–350 per class</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color w:val="000000"/>
                <w:sz w:val="20"/>
                <w:szCs w:val="20"/>
              </w:rPr>
              <w:t xml:space="preserve">Brand protection before public launch</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color w:val="000000"/>
                <w:sz w:val="20"/>
                <w:szCs w:val="20"/>
              </w:rPr>
              <w:t xml:space="preserve">Month 3–6</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color w:val="000000"/>
                <w:sz w:val="20"/>
                <w:szCs w:val="20"/>
              </w:rPr>
              <w:t xml:space="preserve">Prior art search</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color w:val="000000"/>
                <w:sz w:val="20"/>
                <w:szCs w:val="20"/>
              </w:rPr>
              <w:t xml:space="preserve">$1,500–3,000 with attorney</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color w:val="000000"/>
                <w:sz w:val="20"/>
                <w:szCs w:val="20"/>
              </w:rPr>
              <w:t xml:space="preserve">Validate claim strength before non-provisional cost</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color w:val="000000"/>
                <w:sz w:val="20"/>
                <w:szCs w:val="20"/>
              </w:rPr>
              <w:t xml:space="preserve">Month 10–11</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color w:val="000000"/>
                <w:sz w:val="20"/>
                <w:szCs w:val="20"/>
              </w:rPr>
              <w:t xml:space="preserve">File Non-Provisional (Inventions 1 &amp; 2)</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color w:val="000000"/>
                <w:sz w:val="20"/>
                <w:szCs w:val="20"/>
              </w:rPr>
              <w:t xml:space="preserve">$8,000–15,000 with attorney</w:t>
            </w:r>
          </w:p>
        </w:tc>
        <w:tc>
          <w:tcPr>
            <w:tcW w:type="dxa" w:w="288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color w:val="000000"/>
                <w:sz w:val="20"/>
                <w:szCs w:val="20"/>
              </w:rPr>
              <w:t xml:space="preserve">Full patent protection; enforceable on grant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a8" w:sz="4"/>
              <w:left w:val="single" w:color="2563a8" w:sz="4"/>
              <w:bottom w:val="single" w:color="2563a8" w:sz="4"/>
              <w:right w:val="single" w:color="2563a8" w:sz="4"/>
            </w:tcBorders>
            <w:shd w:fill="EBF3FB" w:val="clear"/>
            <w:tcMar>
              <w:top w:type="dxa" w:w="120"/>
              <w:left w:type="dxa" w:w="160"/>
              <w:bottom w:type="dxa" w:w="120"/>
              <w:right w:type="dxa" w:w="160"/>
            </w:tcMar>
          </w:tcPr>
          <w:p>
            <w:pPr>
              <w:spacing w:after="30" w:before="30"/>
            </w:pPr>
            <w:r>
              <w:rPr>
                <w:rFonts w:ascii="Arial" w:cs="Arial" w:eastAsia="Arial" w:hAnsi="Arial"/>
                <w:b/>
                <w:bCs/>
                <w:color w:val="000000"/>
                <w:sz w:val="22"/>
                <w:szCs w:val="22"/>
              </w:rPr>
              <w:t xml:space="preserve">Priority Recommendation</w:t>
            </w:r>
          </w:p>
          <w:p>
            <w:pPr>
              <w:spacing w:after="30" w:before="30"/>
            </w:pPr>
            <w:r>
              <w:rPr>
                <w:rFonts w:ascii="Arial" w:cs="Arial" w:eastAsia="Arial" w:hAnsi="Arial"/>
                <w:color w:val="000000"/>
                <w:sz w:val="20"/>
                <w:szCs w:val="20"/>
              </w:rPr>
              <w:t xml:space="preserve">File a provisional patent application covering Inventions 1 and 2 immediately. The provisional costs ~$320 in USPTO fees, takes 1–2 days to prepare, and secures your priority date. Every day you delay risks a competitor filing first. A patent attorney can file a clean provisional for $1,500–3,000 in billable time.</w:t>
            </w:r>
          </w:p>
        </w:tc>
      </w:tr>
    </w:tbl>
    <w:p>
      <w:pPr>
        <w:spacing w:after="0" w:before="0"/>
      </w:pPr>
      <w:r>
        <w:t xml:space="preserve"/>
      </w:r>
    </w:p>
    <w:p>
      <w:pPr>
        <w:spacing w:after="0" w:before="0"/>
      </w:pPr>
      <w:r>
        <w:t xml:space="preserve"/>
      </w:r>
    </w:p>
    <w:p>
      <w:pPr>
        <w:pStyle w:val="Heading1"/>
        <w:spacing w:after="120" w:before="300"/>
      </w:pPr>
      <w:r>
        <w:rPr>
          <w:rFonts w:ascii="Arial" w:cs="Arial" w:eastAsia="Arial" w:hAnsi="Arial"/>
          <w:b/>
          <w:bCs/>
          <w:color w:val="1a3a6b"/>
          <w:sz w:val="32"/>
          <w:szCs w:val="32"/>
        </w:rPr>
        <w:t xml:space="preserve">5. Next Steps for Your Attorney</w:t>
      </w:r>
    </w:p>
    <w:p>
      <w:pPr>
        <w:spacing w:after="60" w:before="60"/>
      </w:pPr>
      <w:r>
        <w:rPr>
          <w:rFonts w:ascii="Arial" w:cs="Arial" w:eastAsia="Arial" w:hAnsi="Arial"/>
          <w:color w:val="000000"/>
          <w:sz w:val="20"/>
          <w:szCs w:val="20"/>
        </w:rPr>
        <w:t xml:space="preserve">Provide this document to your patent attorney along with the following:</w:t>
      </w:r>
    </w:p>
    <w:p>
      <w:pPr>
        <w:pStyle w:val="ListParagraph"/>
        <w:numPr>
          <w:ilvl w:val="0"/>
          <w:numId w:val="2"/>
        </w:numPr>
        <w:spacing w:after="40" w:before="40"/>
      </w:pPr>
      <w:r>
        <w:rPr>
          <w:rFonts w:ascii="Arial" w:cs="Arial" w:eastAsia="Arial" w:hAnsi="Arial"/>
          <w:sz w:val="20"/>
          <w:szCs w:val="20"/>
        </w:rPr>
        <w:t xml:space="preserve">Access to the Voyara React Native source code (or a technical summary)</w:t>
      </w:r>
    </w:p>
    <w:p>
      <w:pPr>
        <w:pStyle w:val="ListParagraph"/>
        <w:numPr>
          <w:ilvl w:val="0"/>
          <w:numId w:val="2"/>
        </w:numPr>
        <w:spacing w:after="40" w:before="40"/>
      </w:pPr>
      <w:r>
        <w:rPr>
          <w:rFonts w:ascii="Arial" w:cs="Arial" w:eastAsia="Arial" w:hAnsi="Arial"/>
          <w:sz w:val="20"/>
          <w:szCs w:val="20"/>
        </w:rPr>
        <w:t xml:space="preserve">Confirmation of the application's first public disclosure date (if any)</w:t>
      </w:r>
    </w:p>
    <w:p>
      <w:pPr>
        <w:pStyle w:val="ListParagraph"/>
        <w:numPr>
          <w:ilvl w:val="0"/>
          <w:numId w:val="2"/>
        </w:numPr>
        <w:spacing w:after="40" w:before="40"/>
      </w:pPr>
      <w:r>
        <w:rPr>
          <w:rFonts w:ascii="Arial" w:cs="Arial" w:eastAsia="Arial" w:hAnsi="Arial"/>
          <w:sz w:val="20"/>
          <w:szCs w:val="20"/>
        </w:rPr>
        <w:t xml:space="preserve">Any investor pitch decks or public demos that may constitute prior disclosure</w:t>
      </w:r>
    </w:p>
    <w:p>
      <w:pPr>
        <w:pStyle w:val="ListParagraph"/>
        <w:numPr>
          <w:ilvl w:val="0"/>
          <w:numId w:val="2"/>
        </w:numPr>
        <w:spacing w:after="40" w:before="40"/>
      </w:pPr>
      <w:r>
        <w:rPr>
          <w:rFonts w:ascii="Arial" w:cs="Arial" w:eastAsia="Arial" w:hAnsi="Arial"/>
          <w:sz w:val="20"/>
          <w:szCs w:val="20"/>
        </w:rPr>
        <w:t xml:space="preserve">The Zustand store implementation — specifically the expense splitting and credit deduction logic — as technical basis for claims</w:t>
      </w:r>
    </w:p>
    <w:p>
      <w:pPr>
        <w:spacing w:after="60" w:before="120"/>
      </w:pPr>
      <w:r>
        <w:rPr>
          <w:rFonts w:ascii="Arial" w:cs="Arial" w:eastAsia="Arial" w:hAnsi="Arial"/>
          <w:i/>
          <w:iCs/>
          <w:color w:val="666666"/>
          <w:sz w:val="20"/>
          <w:szCs w:val="20"/>
        </w:rPr>
        <w:t xml:space="preserve">The attorney should conduct a professional prior art search on USPTO PAIR, Google Patents, and EPO Espacenet before advising on claim scope.</w:t>
      </w:r>
    </w:p>
    <w:p>
      <w:pPr>
        <w:spacing w:after="0" w:before="0"/>
      </w:pPr>
      <w:r>
        <w:t xml:space="preserve"/>
      </w:r>
    </w:p>
    <w:p>
      <w:pPr>
        <w:pBdr>
          <w:bottom w:val="single" w:color="CCCCCC" w:sz="4" w:space="1"/>
        </w:pBdr>
        <w:spacing w:after="120" w:before="120"/>
      </w:pPr>
      <w:r>
        <w:rPr>
          <w:rFonts w:ascii="Arial" w:cs="Arial" w:eastAsia="Arial" w:hAnsi="Arial"/>
        </w:rPr>
        <w:t xml:space="preserve"/>
      </w:r>
    </w:p>
    <w:p>
      <w:pPr>
        <w:spacing w:after="60" w:before="60"/>
        <w:jc w:val="center"/>
      </w:pPr>
      <w:r>
        <w:rPr>
          <w:rFonts w:ascii="Arial" w:cs="Arial" w:eastAsia="Arial" w:hAnsi="Arial"/>
          <w:color w:val="999999"/>
          <w:sz w:val="16"/>
          <w:szCs w:val="16"/>
        </w:rPr>
        <w:t xml:space="preserve">Voyara — Patent Claims Summary  |  Confidential — Attorney-Client Privileged  |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80"/>
    </w:pPr>
    <w:r>
      <w:rPr>
        <w:rFonts w:ascii="Arial" w:cs="Arial" w:eastAsia="Arial" w:hAnsi="Arial"/>
        <w:color w:val="999999"/>
        <w:sz w:val="16"/>
        <w:szCs w:val="16"/>
      </w:rPr>
      <w:t xml:space="preserve">Voyara — Patent Claims Summary</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spacing w:after="80"/>
    </w:pPr>
    <w:r>
      <w:rPr>
        <w:rFonts w:ascii="Arial" w:cs="Arial" w:eastAsia="Arial" w:hAnsi="Arial"/>
        <w:b/>
        <w:bCs/>
        <w:color w:val="666666"/>
        <w:sz w:val="16"/>
        <w:szCs w:val="16"/>
      </w:rPr>
      <w:t xml:space="preserve">VOYARA — PATENT CLAIMS SUMMARY</w:t>
    </w:r>
    <w:r>
      <w:rPr>
        <w:rFonts w:ascii="Arial" w:cs="Arial" w:eastAsia="Arial" w:hAnsi="Arial"/>
        <w:color w:val="999999"/>
        <w:sz w:val="16"/>
        <w:szCs w:val="16"/>
      </w:rPr>
      <w:t xml:space="preserve">	CONFIDENTIAL — ATTORNEY-CLIENT PRIVILEGED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a3a6b"/>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563a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2026-05-30T19:21:32.670Z</dcterms:created>
  <dcterms:modified xsi:type="dcterms:W3CDTF">2026-05-30T19:21:32.671Z</dcterms:modified>
</cp:coreProperties>
</file>

<file path=docProps/custom.xml><?xml version="1.0" encoding="utf-8"?>
<Properties xmlns="http://schemas.openxmlformats.org/officeDocument/2006/custom-properties" xmlns:vt="http://schemas.openxmlformats.org/officeDocument/2006/docPropsVTypes"/>
</file>