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0"/>
      </w:pPr>
    </w:p>
    <w:p>
      <w:pPr>
        <w:jc w:val="center"/>
      </w:pPr>
      <w:r>
        <w:rPr>
          <w:rFonts w:ascii="Calibri" w:hAnsi="Calibri"/>
          <w:b/>
          <w:i w:val="0"/>
          <w:color w:val="C4971C"/>
          <w:sz w:val="22"/>
        </w:rPr>
        <w:t>OPERATING GUIDE</w:t>
      </w:r>
    </w:p>
    <w:p>
      <w:pPr>
        <w:spacing w:after="160"/>
        <w:jc w:val="center"/>
      </w:pPr>
      <w:r>
        <w:rPr>
          <w:rFonts w:ascii="Calibri" w:hAnsi="Calibri"/>
          <w:b/>
          <w:i w:val="0"/>
          <w:color w:val="074B5B"/>
          <w:sz w:val="60"/>
        </w:rPr>
        <w:t>QualityHub</w:t>
      </w:r>
    </w:p>
    <w:p>
      <w:pPr>
        <w:spacing w:after="160"/>
        <w:jc w:val="center"/>
      </w:pPr>
      <w:r>
        <w:rPr>
          <w:rFonts w:ascii="Calibri" w:hAnsi="Calibri"/>
          <w:b w:val="0"/>
          <w:i w:val="0"/>
          <w:color w:val="0D6678"/>
          <w:sz w:val="36"/>
        </w:rPr>
        <w:t>QA Portal User Manual</w:t>
      </w:r>
    </w:p>
    <w:p>
      <w:pPr>
        <w:spacing w:after="1300"/>
        <w:jc w:val="center"/>
      </w:pPr>
      <w:r>
        <w:rPr>
          <w:rFonts w:ascii="Calibri" w:hAnsi="Calibri"/>
          <w:b w:val="0"/>
          <w:i/>
          <w:color w:val="5F6C71"/>
          <w:sz w:val="22"/>
        </w:rPr>
        <w:t>Requests, approvals, evidence, test management, execution, reporting, and administration</w:t>
      </w:r>
    </w:p>
    <w:p>
      <w:pPr>
        <w:jc w:val="center"/>
      </w:pPr>
      <w:r>
        <w:rPr>
          <w:rFonts w:ascii="Calibri" w:hAnsi="Calibri"/>
          <w:b/>
          <w:i w:val="0"/>
          <w:color w:val="074B5B"/>
          <w:sz w:val="22"/>
        </w:rPr>
        <w:t>Bank of Maharashtra</w:t>
        <w:br/>
        <w:t>Quality Assurance Department - IT</w:t>
        <w:br/>
        <w:t>Version 1.0 | 07 August 2026</w:t>
      </w:r>
    </w:p>
    <w:p>
      <w:r>
        <w:br w:type="page"/>
      </w:r>
    </w:p>
    <w:p>
      <w:pPr>
        <w:pStyle w:val="Heading1"/>
        <w:keepNext/>
      </w:pPr>
      <w:r>
        <w:t>How to use this manual</w:t>
      </w:r>
    </w:p>
    <w:p>
      <w:r>
        <w:t>This manual is a role-aware operating guide for the current QualityHub portal. Screens and actions can differ by role, department, assignment, project status, and workflow stage.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9360"/>
      </w:tblGrid>
      <w:tr>
        <w:tc>
          <w:tcPr>
            <w:tcW w:type="dxa" w:w="9360"/>
            <w:shd w:fill="EDF6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D6678"/>
                <w:sz w:val="21"/>
              </w:rPr>
              <w:t>Fastest support path</w:t>
              <w:br/>
            </w:r>
            <w:r>
              <w:rPr>
                <w:rFonts w:ascii="Calibri" w:hAnsi="Calibri"/>
                <w:b w:val="0"/>
                <w:i w:val="0"/>
                <w:sz w:val="20"/>
              </w:rPr>
              <w:t>Capture the full TQA record ID, module, current status, Pending With value, exact popup reason, timestamp, and a masked screenshot. Never send passwords or secrets.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Contents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E8F1F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74B5B"/>
                <w:sz w:val="19"/>
              </w:rPr>
              <w:t>Section</w:t>
            </w:r>
          </w:p>
        </w:tc>
        <w:tc>
          <w:tcPr>
            <w:tcW w:type="dxa" w:w="6860"/>
            <w:shd w:fill="E8F1F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74B5B"/>
                <w:sz w:val="19"/>
              </w:rPr>
              <w:t>Purpose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1. Getting started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Navigation, dashboard, drawers, tables, and search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2. Roles and access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Role responsibilities, department scope, and controls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3. QA request intake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Draft, submit, evidence, linked child requests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4. Approval workflows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Approve, return, reject, lifecycle branches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5. Test management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Projects, repository, tags, import, bulk maintenance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6. Test execution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Cycles, request linking, runners, attempts, defects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7. Evidence and collaboration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Documents, rich text, images, activity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8. Monitoring and reporting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Dashboard, Insights, approvals, exports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9. Administration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Users, departments, checklists, upload storage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10. Troubleshooting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Common symptoms and corrective actions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1. Getting started</w:t>
      </w:r>
    </w:p>
    <w:p>
      <w:pPr>
        <w:pStyle w:val="ListNumber"/>
        <w:numPr>
          <w:ilvl w:val="0"/>
          <w:numId w:val="10"/>
        </w:numPr>
        <w:spacing w:after="100" w:line="276" w:lineRule="auto"/>
      </w:pPr>
      <w:r>
        <w:rPr>
          <w:rFonts w:ascii="Calibri" w:hAnsi="Calibri"/>
          <w:b/>
          <w:i w:val="0"/>
          <w:color w:val="074B5B"/>
          <w:sz w:val="21"/>
        </w:rPr>
        <w:t xml:space="preserve">Sign in. </w:t>
      </w:r>
      <w:r>
        <w:rPr>
          <w:rFonts w:ascii="Calibri" w:hAnsi="Calibri"/>
          <w:b w:val="0"/>
          <w:i w:val="0"/>
          <w:sz w:val="21"/>
        </w:rPr>
        <w:t>Use the Standard or LDAP/Active Directory method assigned to the account</w:t>
      </w:r>
    </w:p>
    <w:p>
      <w:pPr>
        <w:pStyle w:val="ListNumber"/>
        <w:numPr>
          <w:ilvl w:val="0"/>
          <w:numId w:val="10"/>
        </w:numPr>
        <w:spacing w:after="100" w:line="276" w:lineRule="auto"/>
      </w:pPr>
      <w:r>
        <w:rPr>
          <w:rFonts w:ascii="Calibri" w:hAnsi="Calibri"/>
          <w:b/>
          <w:i w:val="0"/>
          <w:color w:val="074B5B"/>
          <w:sz w:val="21"/>
        </w:rPr>
        <w:t xml:space="preserve">Verify profile. </w:t>
      </w:r>
      <w:r>
        <w:rPr>
          <w:rFonts w:ascii="Calibri" w:hAnsi="Calibri"/>
          <w:b w:val="0"/>
          <w:i w:val="0"/>
          <w:sz w:val="21"/>
        </w:rPr>
        <w:t>Open the user menu and confirm department and every assigned role</w:t>
      </w:r>
    </w:p>
    <w:p>
      <w:pPr>
        <w:pStyle w:val="ListNumber"/>
        <w:numPr>
          <w:ilvl w:val="0"/>
          <w:numId w:val="10"/>
        </w:numPr>
        <w:spacing w:after="100" w:line="276" w:lineRule="auto"/>
      </w:pPr>
      <w:r>
        <w:rPr>
          <w:rFonts w:ascii="Calibri" w:hAnsi="Calibri"/>
          <w:b/>
          <w:i w:val="0"/>
          <w:color w:val="074B5B"/>
          <w:sz w:val="21"/>
        </w:rPr>
        <w:t xml:space="preserve">Review work. </w:t>
      </w:r>
      <w:r>
        <w:rPr>
          <w:rFonts w:ascii="Calibri" w:hAnsi="Calibri"/>
          <w:b w:val="0"/>
          <w:i w:val="0"/>
          <w:sz w:val="21"/>
        </w:rPr>
        <w:t>Open Dashboard and Pending Approvals before starting a new request</w:t>
      </w:r>
    </w:p>
    <w:p>
      <w:pPr>
        <w:pStyle w:val="ListNumber"/>
        <w:numPr>
          <w:ilvl w:val="0"/>
          <w:numId w:val="10"/>
        </w:numPr>
        <w:spacing w:after="100" w:line="276" w:lineRule="auto"/>
      </w:pPr>
      <w:r>
        <w:rPr>
          <w:rFonts w:ascii="Calibri" w:hAnsi="Calibri"/>
          <w:b/>
          <w:i w:val="0"/>
          <w:color w:val="074B5B"/>
          <w:sz w:val="21"/>
        </w:rPr>
        <w:t xml:space="preserve">Use full IDs. </w:t>
      </w:r>
      <w:r>
        <w:rPr>
          <w:rFonts w:ascii="Calibri" w:hAnsi="Calibri"/>
          <w:b w:val="0"/>
          <w:i w:val="0"/>
          <w:sz w:val="21"/>
        </w:rPr>
        <w:t>Use complete TQA IDs in searches, comments, exports, and support requests</w:t>
      </w:r>
    </w:p>
    <w:p>
      <w:pPr>
        <w:pStyle w:val="Heading2"/>
        <w:keepNext/>
      </w:pPr>
      <w:r>
        <w:t>Navigation and work surfaces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sz w:val="21"/>
        </w:rPr>
        <w:t>The left navigation is grouped and collapsible; active modules are highlighted.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sz w:val="21"/>
        </w:rPr>
        <w:t>Request drawers open expanded and remain open until Close is selected. Use the expand/unexpand control to change width.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sz w:val="21"/>
        </w:rPr>
        <w:t>Global search routes known TQA prefixes directly to their correct module and record.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sz w:val="21"/>
        </w:rPr>
        <w:t>Dashboard shows operational attention items; Insights contains focused Security, Suppression, and 3W analytics.</w:t>
      </w:r>
    </w:p>
    <w:p>
      <w:pPr>
        <w:pStyle w:val="Heading2"/>
        <w:keepNext/>
      </w:pPr>
      <w:r>
        <w:t>Tables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sz w:val="21"/>
        </w:rPr>
        <w:t>Designed columns are visible by default. Open Columns to add other fields returned by the API or hide visible fields.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sz w:val="21"/>
        </w:rPr>
        <w:t>Column choices are saved per table for the current browser. At least one column must remain visible.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sz w:val="21"/>
        </w:rPr>
        <w:t>Use the filter icon in a column heading for field-specific filtering. Tables paginate automatically.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sz w:val="21"/>
        </w:rPr>
        <w:t>The Columns popup scrolls independently and stays within the viewport.</w:t>
      </w:r>
    </w:p>
    <w:p>
      <w:pPr>
        <w:pStyle w:val="Heading1"/>
        <w:keepNext/>
      </w:pPr>
      <w:r>
        <w:t>2. Roles and access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1700"/>
        <w:gridCol w:w="4760"/>
        <w:gridCol w:w="2900"/>
      </w:tblGrid>
      <w:tr>
        <w:trPr>
          <w:tblHeader w:val="true"/>
        </w:trPr>
        <w:tc>
          <w:tcPr>
            <w:tcW w:type="dxa" w:w="1700"/>
            <w:shd w:fill="E8F1F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74B5B"/>
                <w:sz w:val="19"/>
              </w:rPr>
              <w:t>Role</w:t>
            </w:r>
          </w:p>
        </w:tc>
        <w:tc>
          <w:tcPr>
            <w:tcW w:type="dxa" w:w="4760"/>
            <w:shd w:fill="E8F1F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74B5B"/>
                <w:sz w:val="19"/>
              </w:rPr>
              <w:t>Primary responsibility</w:t>
            </w:r>
          </w:p>
        </w:tc>
        <w:tc>
          <w:tcPr>
            <w:tcW w:type="dxa" w:w="2900"/>
            <w:shd w:fill="E8F1F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74B5B"/>
                <w:sz w:val="19"/>
              </w:rPr>
              <w:t>Scope/control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Requester / Business Analyst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Raise requests, supply details/evidence, correct returns, verify completion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Own or department work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Application Owner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Approve/reject proposed application names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Same department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SM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First business review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Same department; no self-approval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Department Head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Business approval and QA Lead assignment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Same department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QA Engineer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Author test cases and execute assigned testing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IT - QA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QA Lead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Readiness, assignment, test-case approval, delivery governance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IT - QA cross-department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Security Analyst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SAST/DAST execution, finding validation, suppression review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IT - QA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Executive COE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Final QA Sign-off and QA access coordination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IT - QA governance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Administrator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Users, departments, settings, checklists, protected access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System-wide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9360"/>
      </w:tblGrid>
      <w:tr>
        <w:tc>
          <w:tcPr>
            <w:tcW w:type="dxa" w:w="9360"/>
            <w:shd w:fill="FFF6D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C4971C"/>
                <w:sz w:val="21"/>
              </w:rPr>
              <w:t>Multiple roles</w:t>
              <w:br/>
            </w:r>
            <w:r>
              <w:rPr>
                <w:rFonts w:ascii="Calibri" w:hAnsi="Calibri"/>
                <w:b w:val="0"/>
                <w:i w:val="0"/>
                <w:sz w:val="20"/>
              </w:rPr>
              <w:t>Roles are additive; users do not switch personas. Stage, department, assignment, account state, and segregation-of-duties rules still apply.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QA request intake</w:t>
      </w:r>
    </w:p>
    <w:p>
      <w:pPr>
        <w:pStyle w:val="ListNumber"/>
        <w:numPr>
          <w:ilvl w:val="0"/>
          <w:numId w:val="11"/>
        </w:numPr>
        <w:spacing w:after="100" w:line="276" w:lineRule="auto"/>
      </w:pPr>
      <w:r>
        <w:rPr>
          <w:rFonts w:ascii="Calibri" w:hAnsi="Calibri"/>
          <w:b/>
          <w:i w:val="0"/>
          <w:color w:val="074B5B"/>
          <w:sz w:val="21"/>
        </w:rPr>
        <w:t xml:space="preserve">Prepare. </w:t>
      </w:r>
      <w:r>
        <w:rPr>
          <w:rFonts w:ascii="Calibri" w:hAnsi="Calibri"/>
          <w:b w:val="0"/>
          <w:i w:val="0"/>
          <w:sz w:val="21"/>
        </w:rPr>
        <w:t>Collect change reference, application, environment, release, contacts, scope, risk, and evidence</w:t>
      </w:r>
    </w:p>
    <w:p>
      <w:pPr>
        <w:pStyle w:val="ListNumber"/>
        <w:numPr>
          <w:ilvl w:val="0"/>
          <w:numId w:val="11"/>
        </w:numPr>
        <w:spacing w:after="100" w:line="276" w:lineRule="auto"/>
      </w:pPr>
      <w:r>
        <w:rPr>
          <w:rFonts w:ascii="Calibri" w:hAnsi="Calibri"/>
          <w:b/>
          <w:i w:val="0"/>
          <w:color w:val="074B5B"/>
          <w:sz w:val="21"/>
        </w:rPr>
        <w:t xml:space="preserve">Select testing. </w:t>
      </w:r>
      <w:r>
        <w:rPr>
          <w:rFonts w:ascii="Calibri" w:hAnsi="Calibri"/>
          <w:b w:val="0"/>
          <w:i w:val="0"/>
          <w:sz w:val="21"/>
        </w:rPr>
        <w:t>Choose Functional, SAST, DAST, and/or Performance</w:t>
      </w:r>
    </w:p>
    <w:p>
      <w:pPr>
        <w:pStyle w:val="ListNumber"/>
        <w:numPr>
          <w:ilvl w:val="0"/>
          <w:numId w:val="11"/>
        </w:numPr>
        <w:spacing w:after="100" w:line="276" w:lineRule="auto"/>
      </w:pPr>
      <w:r>
        <w:rPr>
          <w:rFonts w:ascii="Calibri" w:hAnsi="Calibri"/>
          <w:b/>
          <w:i w:val="0"/>
          <w:color w:val="074B5B"/>
          <w:sz w:val="21"/>
        </w:rPr>
        <w:t xml:space="preserve">Complete declarations. </w:t>
      </w:r>
      <w:r>
        <w:rPr>
          <w:rFonts w:ascii="Calibri" w:hAnsi="Calibri"/>
          <w:b w:val="0"/>
          <w:i w:val="0"/>
          <w:sz w:val="21"/>
        </w:rPr>
        <w:t>Answer readiness criteria and attach supporting evidence</w:t>
      </w:r>
    </w:p>
    <w:p>
      <w:pPr>
        <w:pStyle w:val="ListNumber"/>
        <w:numPr>
          <w:ilvl w:val="0"/>
          <w:numId w:val="11"/>
        </w:numPr>
        <w:spacing w:after="100" w:line="276" w:lineRule="auto"/>
      </w:pPr>
      <w:r>
        <w:rPr>
          <w:rFonts w:ascii="Calibri" w:hAnsi="Calibri"/>
          <w:b/>
          <w:i w:val="0"/>
          <w:color w:val="074B5B"/>
          <w:sz w:val="21"/>
        </w:rPr>
        <w:t xml:space="preserve">Save or submit. </w:t>
      </w:r>
      <w:r>
        <w:rPr>
          <w:rFonts w:ascii="Calibri" w:hAnsi="Calibri"/>
          <w:b w:val="0"/>
          <w:i w:val="0"/>
          <w:sz w:val="21"/>
        </w:rPr>
        <w:t>Draft remains editable; Submit validates and raises linked child requests</w:t>
      </w:r>
    </w:p>
    <w:p>
      <w:pPr>
        <w:pStyle w:val="ListNumber"/>
        <w:numPr>
          <w:ilvl w:val="0"/>
          <w:numId w:val="11"/>
        </w:numPr>
        <w:spacing w:after="100" w:line="276" w:lineRule="auto"/>
      </w:pPr>
      <w:r>
        <w:rPr>
          <w:rFonts w:ascii="Calibri" w:hAnsi="Calibri"/>
          <w:b/>
          <w:i w:val="0"/>
          <w:color w:val="074B5B"/>
          <w:sz w:val="21"/>
        </w:rPr>
        <w:t xml:space="preserve">Track children. </w:t>
      </w:r>
      <w:r>
        <w:rPr>
          <w:rFonts w:ascii="Calibri" w:hAnsi="Calibri"/>
          <w:b w:val="0"/>
          <w:i w:val="0"/>
          <w:sz w:val="21"/>
        </w:rPr>
        <w:t>Operational progress occurs on TQA-FUNC, TQA-SAST, TQA-DAST, and TQA-PERF records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9360"/>
      </w:tblGrid>
      <w:tr>
        <w:tc>
          <w:tcPr>
            <w:tcW w:type="dxa" w:w="9360"/>
            <w:shd w:fill="EDF6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D6678"/>
                <w:sz w:val="21"/>
              </w:rPr>
              <w:t>Folder behavior</w:t>
              <w:br/>
            </w:r>
            <w:r>
              <w:rPr>
                <w:rFonts w:ascii="Calibri" w:hAnsi="Calibri"/>
                <w:b w:val="0"/>
                <w:i w:val="0"/>
                <w:sz w:val="20"/>
              </w:rPr>
              <w:t>Draft uploads remain traceable when the generated TQA request ID is assigned. Storage paths are normalized to prevent repeated or duplicate folder structures.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Approval and lifecycle workflows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1500"/>
        <w:gridCol w:w="3100"/>
        <w:gridCol w:w="4760"/>
      </w:tblGrid>
      <w:tr>
        <w:trPr>
          <w:tblHeader w:val="true"/>
        </w:trPr>
        <w:tc>
          <w:tcPr>
            <w:tcW w:type="dxa" w:w="1500"/>
            <w:shd w:fill="E8F1F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74B5B"/>
                <w:sz w:val="19"/>
              </w:rPr>
              <w:t>Decision</w:t>
            </w:r>
          </w:p>
        </w:tc>
        <w:tc>
          <w:tcPr>
            <w:tcW w:type="dxa" w:w="3100"/>
            <w:shd w:fill="E8F1F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74B5B"/>
                <w:sz w:val="19"/>
              </w:rPr>
              <w:t>Meaning</w:t>
            </w:r>
          </w:p>
        </w:tc>
        <w:tc>
          <w:tcPr>
            <w:tcW w:type="dxa" w:w="4760"/>
            <w:shd w:fill="E8F1F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74B5B"/>
                <w:sz w:val="19"/>
              </w:rPr>
              <w:t>Expected user action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Approve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Stage is acceptable and advances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Review details and optionally add a clear action note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Return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Correction is required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State exactly what must change; requester edits and resubmits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Reject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Request should not proceed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Give the business, control, or technical reason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Functional lifecycle</w:t>
      </w:r>
    </w:p>
    <w:p>
      <w:r>
        <w:t>Requester -&gt; SM -&gt; Department Head -&gt; QA Lead readiness -&gt; QA Tester -&gt; QA Sign-off -&gt; Requester verification -&gt; Closed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sz w:val="21"/>
        </w:rPr>
        <w:t>Returned requests show Requester Action as the current lifecycle destination, not the reviewer’s previous stage.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sz w:val="21"/>
        </w:rPr>
        <w:t>Rejected, cancelled, or early-closed requests connect directly to Closed; unreached QA and Sign-off stages are not shown as complete.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sz w:val="21"/>
        </w:rPr>
        <w:t>Pending Approvals groups child requests beneath their parent request ID and opens the selected item directly.</w:t>
      </w:r>
    </w:p>
    <w:p>
      <w:pPr>
        <w:pStyle w:val="Heading2"/>
        <w:keepNext/>
      </w:pPr>
      <w:r>
        <w:t>Other workflows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sz w:val="21"/>
        </w:rPr>
        <w:t>SAST/DAST: SM -&gt; Department Head -&gt; QA readiness -&gt; Security Analyst -&gt; findings/remediation/rescan -&gt; Report Ready.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sz w:val="21"/>
        </w:rPr>
        <w:t>Performance: SM -&gt; Department Head -&gt; readiness -&gt; planning/execution -&gt; analysis/report -&gt; sign-off -&gt; Closed.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sz w:val="21"/>
        </w:rPr>
        <w:t>Suppression: SM -&gt; Department Head -&gt; Security verification -&gt; Done or Rejected.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sz w:val="21"/>
        </w:rPr>
        <w:t>QA Sign-off: QA Engineer -&gt; QA Lead -&gt; Executive COE -&gt; Issued; no SM stage.</w:t>
      </w:r>
    </w:p>
    <w:p>
      <w:pPr>
        <w:pStyle w:val="Heading1"/>
        <w:keepNext/>
      </w:pPr>
      <w:r>
        <w:t>5. Test management</w:t>
      </w:r>
    </w:p>
    <w:p>
      <w:pPr>
        <w:pStyle w:val="Heading2"/>
        <w:keepNext/>
      </w:pPr>
      <w:r>
        <w:t>Projects and repository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sz w:val="21"/>
        </w:rPr>
        <w:t>Department is mandatory and selected from the system department list.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sz w:val="21"/>
        </w:rPr>
        <w:t>When an Application is selected, its mapped Department is applied and the Department field becomes read-only.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sz w:val="21"/>
        </w:rPr>
        <w:t>Folders and subfolders organize release, module, epic, or scope. Tags/labels support testcase filtering.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sz w:val="21"/>
        </w:rPr>
        <w:t>Bulk update can change Test Type, Folder, Module Name, and Priority.</w:t>
      </w:r>
    </w:p>
    <w:p>
      <w:pPr>
        <w:pStyle w:val="Heading2"/>
        <w:keepNext/>
      </w:pPr>
      <w:r>
        <w:t>Excel import</w:t>
      </w:r>
    </w:p>
    <w:p>
      <w:pPr>
        <w:pStyle w:val="ListNumber"/>
        <w:numPr>
          <w:ilvl w:val="0"/>
          <w:numId w:val="12"/>
        </w:numPr>
        <w:spacing w:after="100" w:line="276" w:lineRule="auto"/>
      </w:pPr>
      <w:r>
        <w:rPr>
          <w:rFonts w:ascii="Calibri" w:hAnsi="Calibri"/>
          <w:b/>
          <w:i w:val="0"/>
          <w:color w:val="074B5B"/>
          <w:sz w:val="21"/>
        </w:rPr>
        <w:t xml:space="preserve">Download template. </w:t>
      </w:r>
      <w:r>
        <w:rPr>
          <w:rFonts w:ascii="Calibri" w:hAnsi="Calibri"/>
          <w:b w:val="0"/>
          <w:i w:val="0"/>
          <w:sz w:val="21"/>
        </w:rPr>
        <w:t>Use the standard Test Case Import Template.xlsx</w:t>
      </w:r>
    </w:p>
    <w:p>
      <w:pPr>
        <w:pStyle w:val="ListNumber"/>
        <w:numPr>
          <w:ilvl w:val="0"/>
          <w:numId w:val="12"/>
        </w:numPr>
        <w:spacing w:after="100" w:line="276" w:lineRule="auto"/>
      </w:pPr>
      <w:r>
        <w:rPr>
          <w:rFonts w:ascii="Calibri" w:hAnsi="Calibri"/>
          <w:b/>
          <w:i w:val="0"/>
          <w:color w:val="074B5B"/>
          <w:sz w:val="21"/>
        </w:rPr>
        <w:t xml:space="preserve">Choose destination. </w:t>
      </w:r>
      <w:r>
        <w:rPr>
          <w:rFonts w:ascii="Calibri" w:hAnsi="Calibri"/>
          <w:b w:val="0"/>
          <w:i w:val="0"/>
          <w:sz w:val="21"/>
        </w:rPr>
        <w:t>Select the active project and optional target folder</w:t>
      </w:r>
    </w:p>
    <w:p>
      <w:pPr>
        <w:pStyle w:val="ListNumber"/>
        <w:numPr>
          <w:ilvl w:val="0"/>
          <w:numId w:val="12"/>
        </w:numPr>
        <w:spacing w:after="100" w:line="276" w:lineRule="auto"/>
      </w:pPr>
      <w:r>
        <w:rPr>
          <w:rFonts w:ascii="Calibri" w:hAnsi="Calibri"/>
          <w:b/>
          <w:i w:val="0"/>
          <w:color w:val="074B5B"/>
          <w:sz w:val="21"/>
        </w:rPr>
        <w:t xml:space="preserve">Upload and validate. </w:t>
      </w:r>
      <w:r>
        <w:rPr>
          <w:rFonts w:ascii="Calibri" w:hAnsi="Calibri"/>
          <w:b w:val="0"/>
          <w:i w:val="0"/>
          <w:sz w:val="21"/>
        </w:rPr>
        <w:t>The workbook is parsed and each testcase becomes Draft/Pending QA Lead Review</w:t>
      </w:r>
    </w:p>
    <w:p>
      <w:pPr>
        <w:pStyle w:val="ListNumber"/>
        <w:numPr>
          <w:ilvl w:val="0"/>
          <w:numId w:val="12"/>
        </w:numPr>
        <w:spacing w:after="100" w:line="276" w:lineRule="auto"/>
      </w:pPr>
      <w:r>
        <w:rPr>
          <w:rFonts w:ascii="Calibri" w:hAnsi="Calibri"/>
          <w:b/>
          <w:i w:val="0"/>
          <w:color w:val="074B5B"/>
          <w:sz w:val="21"/>
        </w:rPr>
        <w:t xml:space="preserve">Review result. </w:t>
      </w:r>
      <w:r>
        <w:rPr>
          <w:rFonts w:ascii="Calibri" w:hAnsi="Calibri"/>
          <w:b w:val="0"/>
          <w:i w:val="0"/>
          <w:sz w:val="21"/>
        </w:rPr>
        <w:t>Correct skipped rows using the exact displayed reason before retrying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9360"/>
      </w:tblGrid>
      <w:tr>
        <w:tc>
          <w:tcPr>
            <w:tcW w:type="dxa" w:w="9360"/>
            <w:shd w:fill="EDF6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D6678"/>
                <w:sz w:val="21"/>
              </w:rPr>
              <w:t>Import-file retention</w:t>
              <w:br/>
            </w:r>
            <w:r>
              <w:rPr>
                <w:rFonts w:ascii="Calibri" w:hAnsi="Calibri"/>
                <w:b w:val="0"/>
                <w:i w:val="0"/>
                <w:sz w:val="20"/>
              </w:rPr>
              <w:t>The imported Excel workbook is read in memory and is not stored under the upload path. Test cases and steps are saved in the database.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Review and version control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sz w:val="21"/>
        </w:rPr>
        <w:t>QA Lead approval makes a testcase Active and eligible for cycles.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sz w:val="21"/>
        </w:rPr>
        <w:t>Check Out reserves editing; Check In releases the reservation.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sz w:val="21"/>
        </w:rPr>
        <w:t>Materially updated testcases return to review and maintain governed version history.</w:t>
      </w:r>
    </w:p>
    <w:p>
      <w:pPr>
        <w:pStyle w:val="Heading1"/>
        <w:keepNext/>
      </w:pPr>
      <w:r>
        <w:t>6. Test cycles and execution</w:t>
      </w:r>
    </w:p>
    <w:p>
      <w:pPr>
        <w:pStyle w:val="ListNumber"/>
        <w:numPr>
          <w:ilvl w:val="0"/>
          <w:numId w:val="13"/>
        </w:numPr>
        <w:spacing w:after="100" w:line="276" w:lineRule="auto"/>
      </w:pPr>
      <w:r>
        <w:rPr>
          <w:rFonts w:ascii="Calibri" w:hAnsi="Calibri"/>
          <w:b/>
          <w:i w:val="0"/>
          <w:color w:val="074B5B"/>
          <w:sz w:val="21"/>
        </w:rPr>
        <w:t xml:space="preserve">Create or edit cycle. </w:t>
      </w:r>
      <w:r>
        <w:rPr>
          <w:rFonts w:ascii="Calibri" w:hAnsi="Calibri"/>
          <w:b w:val="0"/>
          <w:i w:val="0"/>
          <w:sz w:val="21"/>
        </w:rPr>
        <w:t>Set scope and dates, and optionally link a child Functional, SAST, DAST, or Performance request ID</w:t>
      </w:r>
    </w:p>
    <w:p>
      <w:pPr>
        <w:pStyle w:val="ListNumber"/>
        <w:numPr>
          <w:ilvl w:val="0"/>
          <w:numId w:val="13"/>
        </w:numPr>
        <w:spacing w:after="100" w:line="276" w:lineRule="auto"/>
      </w:pPr>
      <w:r>
        <w:rPr>
          <w:rFonts w:ascii="Calibri" w:hAnsi="Calibri"/>
          <w:b/>
          <w:i w:val="0"/>
          <w:color w:val="074B5B"/>
          <w:sz w:val="21"/>
        </w:rPr>
        <w:t xml:space="preserve">Add testcases. </w:t>
      </w:r>
      <w:r>
        <w:rPr>
          <w:rFonts w:ascii="Calibri" w:hAnsi="Calibri"/>
          <w:b w:val="0"/>
          <w:i w:val="0"/>
          <w:sz w:val="21"/>
        </w:rPr>
        <w:t>Use Select all, filters, pagination, and configurable columns; only Active unlinked cases are eligible</w:t>
      </w:r>
    </w:p>
    <w:p>
      <w:pPr>
        <w:pStyle w:val="ListNumber"/>
        <w:numPr>
          <w:ilvl w:val="0"/>
          <w:numId w:val="13"/>
        </w:numPr>
        <w:spacing w:after="100" w:line="276" w:lineRule="auto"/>
      </w:pPr>
      <w:r>
        <w:rPr>
          <w:rFonts w:ascii="Calibri" w:hAnsi="Calibri"/>
          <w:b/>
          <w:i w:val="0"/>
          <w:color w:val="074B5B"/>
          <w:sz w:val="21"/>
        </w:rPr>
        <w:t xml:space="preserve">Assign runners. </w:t>
      </w:r>
      <w:r>
        <w:rPr>
          <w:rFonts w:ascii="Calibri" w:hAnsi="Calibri"/>
          <w:b w:val="0"/>
          <w:i w:val="0"/>
          <w:sz w:val="21"/>
        </w:rPr>
        <w:t>Assign or reassign active IT-QA QA Engineers or QA Leads</w:t>
      </w:r>
    </w:p>
    <w:p>
      <w:pPr>
        <w:pStyle w:val="ListNumber"/>
        <w:numPr>
          <w:ilvl w:val="0"/>
          <w:numId w:val="13"/>
        </w:numPr>
        <w:spacing w:after="100" w:line="276" w:lineRule="auto"/>
      </w:pPr>
      <w:r>
        <w:rPr>
          <w:rFonts w:ascii="Calibri" w:hAnsi="Calibri"/>
          <w:b/>
          <w:i w:val="0"/>
          <w:color w:val="074B5B"/>
          <w:sz w:val="21"/>
        </w:rPr>
        <w:t xml:space="preserve">Execute. </w:t>
      </w:r>
      <w:r>
        <w:rPr>
          <w:rFonts w:ascii="Calibri" w:hAnsi="Calibri"/>
          <w:b w:val="0"/>
          <w:i w:val="0"/>
          <w:sz w:val="21"/>
        </w:rPr>
        <w:t>Use quick Play or the detailed runner to record a retained attempt</w:t>
      </w:r>
    </w:p>
    <w:p>
      <w:pPr>
        <w:pStyle w:val="ListNumber"/>
        <w:numPr>
          <w:ilvl w:val="0"/>
          <w:numId w:val="13"/>
        </w:numPr>
        <w:spacing w:after="100" w:line="276" w:lineRule="auto"/>
      </w:pPr>
      <w:r>
        <w:rPr>
          <w:rFonts w:ascii="Calibri" w:hAnsi="Calibri"/>
          <w:b/>
          <w:i w:val="0"/>
          <w:color w:val="074B5B"/>
          <w:sz w:val="21"/>
        </w:rPr>
        <w:t xml:space="preserve">Record result. </w:t>
      </w:r>
      <w:r>
        <w:rPr>
          <w:rFonts w:ascii="Calibri" w:hAnsi="Calibri"/>
          <w:b w:val="0"/>
          <w:i w:val="0"/>
          <w:sz w:val="21"/>
        </w:rPr>
        <w:t>Capture status, actual result, notes, and supported evidence</w:t>
      </w:r>
    </w:p>
    <w:p>
      <w:pPr>
        <w:pStyle w:val="ListNumber"/>
        <w:numPr>
          <w:ilvl w:val="0"/>
          <w:numId w:val="13"/>
        </w:numPr>
        <w:spacing w:after="100" w:line="276" w:lineRule="auto"/>
      </w:pPr>
      <w:r>
        <w:rPr>
          <w:rFonts w:ascii="Calibri" w:hAnsi="Calibri"/>
          <w:b/>
          <w:i w:val="0"/>
          <w:color w:val="074B5B"/>
          <w:sz w:val="21"/>
        </w:rPr>
        <w:t xml:space="preserve">Link defect. </w:t>
      </w:r>
      <w:r>
        <w:rPr>
          <w:rFonts w:ascii="Calibri" w:hAnsi="Calibri"/>
          <w:b w:val="0"/>
          <w:i w:val="0"/>
          <w:sz w:val="21"/>
        </w:rPr>
        <w:t>Fail and Blocked outcomes can link a defect only to the latest applicable failed/blocked run</w:t>
      </w:r>
    </w:p>
    <w:p>
      <w:pPr>
        <w:pStyle w:val="Heading2"/>
        <w:keepNext/>
      </w:pPr>
      <w:r>
        <w:t>Request and lifecycle links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sz w:val="21"/>
        </w:rPr>
        <w:t>Starting Functional execution asks whether an eligible test cycle should be linked. Cancel makes no status change.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sz w:val="21"/>
        </w:rPr>
        <w:t>A linked cycle is visible on request details and duplicate links are prevented.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sz w:val="21"/>
        </w:rPr>
        <w:t>Unlink can be performed from Functional Request details or Test Lifecycle without deleting testcases or run history.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sz w:val="21"/>
        </w:rPr>
        <w:t>Reset Lifecycle requires a destructive confirmation and returns cycle execution state to its initial condition.</w:t>
      </w:r>
    </w:p>
    <w:p>
      <w:pPr>
        <w:pStyle w:val="Heading1"/>
        <w:keepNext/>
      </w:pPr>
      <w:r>
        <w:t>7. Evidence, rich text, and collaboration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sz w:val="21"/>
        </w:rPr>
        <w:t>Documents and checklist evidence use the configured upload root and are stored against governed record folders.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sz w:val="21"/>
        </w:rPr>
        <w:t>Execution attempts can retain screenshots and evidence with the individual run.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sz w:val="21"/>
        </w:rPr>
        <w:t>Activity supports formatted comments, lists, pasted images, and attachments; workflow decisions retain their audit note.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sz w:val="21"/>
        </w:rPr>
        <w:t>QA Certificate Exit Criteria Validation Notes, Open Defect Review Summary, and Residual Risk Documentation support rich text and tables.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sz w:val="21"/>
        </w:rPr>
        <w:t>QA Certificate PDF export preserves formatted text and table data.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9360"/>
      </w:tblGrid>
      <w:tr>
        <w:tc>
          <w:tcPr>
            <w:tcW w:type="dxa" w:w="9360"/>
            <w:shd w:fill="FFF6D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C4971C"/>
                <w:sz w:val="21"/>
              </w:rPr>
              <w:t>Information security</w:t>
              <w:br/>
            </w:r>
            <w:r>
              <w:rPr>
                <w:rFonts w:ascii="Calibri" w:hAnsi="Calibri"/>
                <w:b w:val="0"/>
                <w:i w:val="0"/>
                <w:sz w:val="20"/>
              </w:rPr>
              <w:t>Do not upload credentials, secrets, production customer data, or unmasked personal information.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8. Monitoring and reporting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sz w:val="21"/>
        </w:rPr>
        <w:t>Dashboard prioritizes active projects, findings, decisions, active child requests, governance risks, lifecycle health, and recent activity.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sz w:val="21"/>
        </w:rPr>
        <w:t>Insights consolidates Security, Suppression, and 3W Pending analytics.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sz w:val="21"/>
        </w:rPr>
        <w:t>Pending Approvals refreshes after a decision and groups children under parent requests.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sz w:val="21"/>
        </w:rPr>
        <w:t>Reports and exports provide governed summaries; Repository and Test Execution export detailed assets and results.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sz w:val="21"/>
        </w:rPr>
        <w:t>TQA-REQ gateway records are not double-counted as executable child requests in dashboard request totals.</w:t>
      </w:r>
    </w:p>
    <w:p>
      <w:pPr>
        <w:pStyle w:val="Heading1"/>
        <w:keepNext/>
      </w:pPr>
      <w:r>
        <w:t>9. Administration</w:t>
      </w:r>
    </w:p>
    <w:p>
      <w:pPr>
        <w:pStyle w:val="Heading2"/>
        <w:keepNext/>
      </w:pPr>
      <w:r>
        <w:t>Users and departments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sz w:val="21"/>
        </w:rPr>
        <w:t>Create, activate/deactivate, and review accounts without deleting audit history.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sz w:val="21"/>
        </w:rPr>
        <w:t>Set the correct Department before assigning roles; periodically certify multi-role and privileged access.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sz w:val="21"/>
        </w:rPr>
        <w:t>Reassign open requests and testing work before deactivation or transfer.</w:t>
      </w:r>
    </w:p>
    <w:p>
      <w:pPr>
        <w:pStyle w:val="Heading2"/>
        <w:keepNext/>
      </w:pPr>
      <w:r>
        <w:t>Upload storage</w:t>
      </w:r>
    </w:p>
    <w:p>
      <w:pPr>
        <w:pStyle w:val="ListNumber"/>
        <w:numPr>
          <w:ilvl w:val="0"/>
          <w:numId w:val="14"/>
        </w:numPr>
        <w:spacing w:after="100" w:line="276" w:lineRule="auto"/>
      </w:pPr>
      <w:r>
        <w:rPr>
          <w:rFonts w:ascii="Calibri" w:hAnsi="Calibri"/>
          <w:b/>
          <w:i w:val="0"/>
          <w:color w:val="074B5B"/>
          <w:sz w:val="21"/>
        </w:rPr>
        <w:t xml:space="preserve">Open System Settings. </w:t>
      </w:r>
      <w:r>
        <w:rPr>
          <w:rFonts w:ascii="Calibri" w:hAnsi="Calibri"/>
          <w:b w:val="0"/>
          <w:i w:val="0"/>
          <w:sz w:val="21"/>
        </w:rPr>
        <w:t>Enter an absolute server filesystem path</w:t>
      </w:r>
    </w:p>
    <w:p>
      <w:pPr>
        <w:pStyle w:val="ListNumber"/>
        <w:numPr>
          <w:ilvl w:val="0"/>
          <w:numId w:val="14"/>
        </w:numPr>
        <w:spacing w:after="100" w:line="276" w:lineRule="auto"/>
      </w:pPr>
      <w:r>
        <w:rPr>
          <w:rFonts w:ascii="Calibri" w:hAnsi="Calibri"/>
          <w:b/>
          <w:i w:val="0"/>
          <w:color w:val="074B5B"/>
          <w:sz w:val="21"/>
        </w:rPr>
        <w:t xml:space="preserve">Validate access. </w:t>
      </w:r>
      <w:r>
        <w:rPr>
          <w:rFonts w:ascii="Calibri" w:hAnsi="Calibri"/>
          <w:b w:val="0"/>
          <w:i w:val="0"/>
          <w:sz w:val="21"/>
        </w:rPr>
        <w:t>The API verifies the path exists or can be created and is writable</w:t>
      </w:r>
    </w:p>
    <w:p>
      <w:pPr>
        <w:pStyle w:val="ListNumber"/>
        <w:numPr>
          <w:ilvl w:val="0"/>
          <w:numId w:val="14"/>
        </w:numPr>
        <w:spacing w:after="100" w:line="276" w:lineRule="auto"/>
      </w:pPr>
      <w:r>
        <w:rPr>
          <w:rFonts w:ascii="Calibri" w:hAnsi="Calibri"/>
          <w:b/>
          <w:i w:val="0"/>
          <w:color w:val="074B5B"/>
          <w:sz w:val="21"/>
        </w:rPr>
        <w:t xml:space="preserve">Mount persistently. </w:t>
      </w:r>
      <w:r>
        <w:rPr>
          <w:rFonts w:ascii="Calibri" w:hAnsi="Calibri"/>
          <w:b w:val="0"/>
          <w:i w:val="0"/>
          <w:sz w:val="21"/>
        </w:rPr>
        <w:t>In production, mount the same persistent volume at that exact path in every API replica</w:t>
      </w:r>
    </w:p>
    <w:p>
      <w:pPr>
        <w:pStyle w:val="ListNumber"/>
        <w:numPr>
          <w:ilvl w:val="0"/>
          <w:numId w:val="14"/>
        </w:numPr>
        <w:spacing w:after="100" w:line="276" w:lineRule="auto"/>
      </w:pPr>
      <w:r>
        <w:rPr>
          <w:rFonts w:ascii="Calibri" w:hAnsi="Calibri"/>
          <w:b/>
          <w:i w:val="0"/>
          <w:color w:val="074B5B"/>
          <w:sz w:val="21"/>
        </w:rPr>
        <w:t xml:space="preserve">Retain legacy roots. </w:t>
      </w:r>
      <w:r>
        <w:rPr>
          <w:rFonts w:ascii="Calibri" w:hAnsi="Calibri"/>
          <w:b w:val="0"/>
          <w:i w:val="0"/>
          <w:sz w:val="21"/>
        </w:rPr>
        <w:t>Keep configured legacy paths available while older documents still reference them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9360"/>
      </w:tblGrid>
      <w:tr>
        <w:tc>
          <w:tcPr>
            <w:tcW w:type="dxa" w:w="9360"/>
            <w:shd w:fill="FFF6D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C4971C"/>
                <w:sz w:val="21"/>
              </w:rPr>
              <w:t>Default development path</w:t>
              <w:br/>
            </w:r>
            <w:r>
              <w:rPr>
                <w:rFonts w:ascii="Calibri" w:hAnsi="Calibri"/>
                <w:b w:val="0"/>
                <w:i w:val="0"/>
                <w:sz w:val="20"/>
              </w:rPr>
              <w:t>If no Admin setting exists, retained uploads use backend/app/uploads. Production should use a durable mounted path outside the application image.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10. Troubleshooting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2200"/>
        <w:gridCol w:w="3350"/>
        <w:gridCol w:w="3810"/>
      </w:tblGrid>
      <w:tr>
        <w:trPr>
          <w:tblHeader w:val="true"/>
        </w:trPr>
        <w:tc>
          <w:tcPr>
            <w:tcW w:type="dxa" w:w="2200"/>
            <w:shd w:fill="E8F1F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74B5B"/>
                <w:sz w:val="19"/>
              </w:rPr>
              <w:t>Symptom</w:t>
            </w:r>
          </w:p>
        </w:tc>
        <w:tc>
          <w:tcPr>
            <w:tcW w:type="dxa" w:w="3350"/>
            <w:shd w:fill="E8F1F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74B5B"/>
                <w:sz w:val="19"/>
              </w:rPr>
              <w:t>Likely reason</w:t>
            </w:r>
          </w:p>
        </w:tc>
        <w:tc>
          <w:tcPr>
            <w:tcW w:type="dxa" w:w="3810"/>
            <w:shd w:fill="E8F1F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74B5B"/>
                <w:sz w:val="19"/>
              </w:rPr>
              <w:t>Corrective action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Missing action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Wrong stage, role, department, assignment, or inactive account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Check profile, status, Pending With, and assignment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400 popup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Required data or workflow precondition missing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Follow the exact reason and guidance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403 popup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Authenticated but not authorized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Verify role, department, self-approval, assignment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404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Wrong route/ID or missing record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Search full TQA ID in the correct module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Import skipped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Missing/duplicate/invalid template data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Correct rows using the displayed issue summary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Cannot execute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Unapproved case, inactive project, or no runner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Approve/reactivate/assign as authorized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Upload path error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Path not absolute, writable, or mounted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Correct Admin path and container volume mapping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PDF formatting issue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Unsupported or malformed rich content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Use supported editor formatting and regenerate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Escalation checklist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sz w:val="21"/>
        </w:rPr>
        <w:t>Full TQA record ID, module name, current status, and Pending With value.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sz w:val="21"/>
        </w:rPr>
        <w:t>Department and roles (never a password), plus the exact popup reason and corrective guidance.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sz w:val="21"/>
        </w:rPr>
        <w:t>Timestamp, attempted action, and a masked screenshot where useful.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F6C71"/>
        <w:sz w:val="16"/>
      </w:rPr>
      <w:t xml:space="preserve">Controlled User Guide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5F6C71"/>
        <w:sz w:val="17"/>
      </w:rPr>
      <w:t>QualityHub | Bank of Maharashtra QA Portal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74B5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D66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74B5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QualityHub QA Portal User Manual</dc:title>
  <dc:subject>Current user and administrator operating guide</dc:subject>
  <dc:creator>Quality Assurance Department - IT</dc:creator>
  <cp:keywords>QualityHub, QA Portal, user manual, test management, approvals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