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keepNext/>
        <w:spacing w:before="0" w:after="120"/>
      </w:pPr>
      <w:r>
        <w:rPr>
          <w:rFonts w:ascii="Calibri" w:hAnsi="Calibri"/>
          <w:b/>
          <w:color w:val="159D8C"/>
          <w:sz w:val="19"/>
        </w:rPr>
        <w:t>PRODUCT OVERVIEW</w:t>
      </w:r>
    </w:p>
    <w:p>
      <w:pPr>
        <w:pStyle w:val="Title"/>
        <w:keepNext/>
      </w:pPr>
      <w:r>
        <w:rPr>
          <w:rFonts w:ascii="Calibri" w:hAnsi="Calibri"/>
          <w:b/>
          <w:color w:val="0B2545"/>
          <w:sz w:val="62"/>
        </w:rPr>
        <w:t>NOAVIA Tender</w:t>
        <w:br/>
        <w:t>Opportunity Hunter</w:t>
      </w:r>
    </w:p>
    <w:p>
      <w:pPr>
        <w:pStyle w:val="Subtitle"/>
      </w:pPr>
      <w:r>
        <w:rPr>
          <w:rFonts w:ascii="Calibri" w:hAnsi="Calibri"/>
          <w:color w:val="5E6B75"/>
          <w:sz w:val="30"/>
        </w:rPr>
        <w:t>An evidence-first AI agent for finding, qualifying, and acting on public tender opportunities</w:t>
      </w:r>
    </w:p>
    <w:p>
      <w:pPr>
        <w:spacing w:before="100" w:after="200" w:line="288" w:lineRule="auto"/>
        <w:ind w:left="173" w:right="115"/>
        <w:shd w:fill="EAF7F5"/>
        <w:pBdr>
          <w:left w:val="single" w:sz="20" w:space="8" w:color="159D8C"/>
        </w:pBdr>
      </w:pPr>
      <w:r>
        <w:rPr>
          <w:rFonts w:ascii="Calibri" w:hAnsi="Calibri"/>
          <w:b/>
          <w:color w:val="159D8C"/>
          <w:sz w:val="19"/>
        </w:rPr>
        <w:t xml:space="preserve">CORE IDEA  </w:t>
      </w:r>
      <w:r>
        <w:rPr>
          <w:rFonts w:ascii="Calibri" w:hAnsi="Calibri"/>
          <w:b/>
          <w:color w:val="24313D"/>
          <w:sz w:val="22"/>
        </w:rPr>
        <w:t>Turn fragmented tender data into a prioritized, explainable action list - while keeping every important fact traceable to its source.</w:t>
      </w:r>
    </w:p>
    <w:p>
      <w:pPr>
        <w:spacing w:before="1080" w:after="60"/>
      </w:pPr>
      <w:r>
        <w:rPr>
          <w:rFonts w:ascii="Calibri" w:hAnsi="Calibri"/>
          <w:b/>
          <w:color w:val="0B2545"/>
          <w:sz w:val="22"/>
        </w:rPr>
        <w:t>Prepared for client discussion</w:t>
      </w:r>
    </w:p>
    <w:p>
      <w:pPr>
        <w:spacing w:after="0"/>
      </w:pPr>
      <w:r>
        <w:rPr>
          <w:rFonts w:ascii="Calibri" w:hAnsi="Calibri"/>
          <w:color w:val="5E6B75"/>
          <w:sz w:val="20"/>
        </w:rPr>
        <w:t>NOAVIA  |  4 September 2026  |  MVP overview</w:t>
      </w:r>
    </w:p>
    <w:p>
      <w:pPr>
        <w:sectPr>
          <w:headerReference w:type="default" r:id="rId9"/>
          <w:headerReference w:type="even" r:id="rId10"/>
          <w:headerReference w:type="first" r:id="rId11"/>
          <w:footerReference w:type="default" r:id="rId12"/>
          <w:footerReference w:type="even" r:id="rId13"/>
          <w:footerReference w:type="first" r:id="rId14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1. Executive overview</w:t>
      </w:r>
    </w:p>
    <w:p>
      <w:pPr>
        <w:spacing w:after="120" w:line="300" w:lineRule="auto"/>
      </w:pPr>
      <w:r>
        <w:rPr>
          <w:rFonts w:ascii="Calibri" w:hAnsi="Calibri"/>
          <w:color w:val="24313D"/>
        </w:rPr>
        <w:t>NOAVIA Tender Opportunity Hunter is a self-hosted procurement intelligence agent. It continuously monitors approved public tender feeds, turns notices and attachments into structured opportunity records, compares each opportunity with a confirmed company profile, and presents the best next actions in one workspace.</w:t>
      </w:r>
    </w:p>
    <w:p>
      <w:pPr>
        <w:spacing w:after="120" w:line="300" w:lineRule="auto"/>
      </w:pPr>
      <w:r>
        <w:rPr>
          <w:rFonts w:ascii="Calibri" w:hAnsi="Calibri"/>
          <w:color w:val="24313D"/>
        </w:rPr>
        <w:t>The agent is designed to support bid and business-development teams, not replace their judgment. It accelerates discovery, triage, evidence review, ownership, and first-draft preparation. Unknown or unverified facts remain visible as REVIEW or TODO items instead of being presented as certainty.</w:t>
      </w:r>
    </w:p>
    <w:p>
      <w:pPr>
        <w:spacing w:before="100" w:after="200" w:line="288" w:lineRule="auto"/>
        <w:ind w:left="173" w:right="115"/>
        <w:shd w:fill="EAF7F5"/>
        <w:pBdr>
          <w:left w:val="single" w:sz="20" w:space="8" w:color="159D8C"/>
        </w:pBdr>
      </w:pPr>
      <w:r>
        <w:rPr>
          <w:rFonts w:ascii="Calibri" w:hAnsi="Calibri"/>
          <w:b/>
          <w:color w:val="159D8C"/>
          <w:sz w:val="19"/>
        </w:rPr>
        <w:t xml:space="preserve">CLIENT TAKEAWAY  </w:t>
      </w:r>
      <w:r>
        <w:rPr>
          <w:rFonts w:ascii="Calibri" w:hAnsi="Calibri"/>
          <w:b/>
          <w:color w:val="24313D"/>
          <w:sz w:val="22"/>
        </w:rPr>
        <w:t>The product reduces the time between a tender being published and a qualified bid/no-bid decision, without sacrificing traceability.</w:t>
      </w:r>
    </w:p>
    <w:p>
      <w:pPr>
        <w:pStyle w:val="Heading1"/>
      </w:pPr>
      <w:r>
        <w:t>2. The problem it solves</w:t>
      </w:r>
    </w:p>
    <w:p>
      <w:pPr>
        <w:spacing w:before="100" w:after="200" w:line="288" w:lineRule="auto"/>
        <w:ind w:left="173" w:right="115"/>
        <w:shd w:fill="F4F6F9"/>
        <w:pBdr>
          <w:left w:val="single" w:sz="20" w:space="8" w:color="2E74B5"/>
        </w:pBdr>
      </w:pPr>
      <w:r>
        <w:rPr>
          <w:rFonts w:ascii="Calibri" w:hAnsi="Calibri"/>
          <w:b/>
          <w:color w:val="2E74B5"/>
          <w:sz w:val="19"/>
        </w:rPr>
        <w:t xml:space="preserve">THE CHALLENGE  </w:t>
      </w:r>
      <w:r>
        <w:rPr>
          <w:rFonts w:ascii="Calibri" w:hAnsi="Calibri"/>
          <w:b/>
          <w:color w:val="24313D"/>
          <w:sz w:val="22"/>
        </w:rPr>
        <w:t>Tender notices and attachments are fragmented, difficult to compare, and easy to discover too late. Teams need a faster way to reject poor-fit work, preserve source evidence, and coordinate bid decisions.</w:t>
      </w:r>
    </w:p>
    <w:p>
      <w:pPr>
        <w:pStyle w:val="Heading1"/>
      </w:pPr>
      <w:r>
        <w:t>3. What makes it an agent</w:t>
      </w:r>
    </w:p>
    <w:p>
      <w:pPr>
        <w:spacing w:after="120" w:line="300" w:lineRule="auto"/>
      </w:pPr>
      <w:r>
        <w:rPr>
          <w:rFonts w:ascii="Calibri" w:hAnsi="Calibri"/>
          <w:color w:val="24313D"/>
        </w:rPr>
        <w:t>NOAVIA performs an ongoing goal-driven loop rather than a one-time search. It observes configured sources, interprets new or changed content, applies company-specific rules, prioritizes opportunities, prompts human action, and preserves the history needed to learn and audit decisions.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EE6"/>
          <w:left w:val="single" w:sz="6" w:space="0" w:color="D5DEE6"/>
          <w:bottom w:val="single" w:sz="6" w:space="0" w:color="D5DEE6"/>
          <w:right w:val="single" w:sz="6" w:space="0" w:color="D5DEE6"/>
          <w:insideH w:val="single" w:sz="6" w:space="0" w:color="D5DEE6"/>
          <w:insideV w:val="single" w:sz="6" w:space="0" w:color="D5DEE6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shd w:fill="0B254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1. DISCOVER</w:t>
            </w:r>
          </w:p>
        </w:tc>
        <w:tc>
          <w:tcPr>
            <w:tcW w:type="dxa" w:w="1872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2. UNDERSTAND</w:t>
            </w:r>
          </w:p>
        </w:tc>
        <w:tc>
          <w:tcPr>
            <w:tcW w:type="dxa" w:w="1872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3. QUALIFY</w:t>
            </w:r>
          </w:p>
        </w:tc>
        <w:tc>
          <w:tcPr>
            <w:tcW w:type="dxa" w:w="1872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4. ACT</w:t>
            </w:r>
          </w:p>
        </w:tc>
        <w:tc>
          <w:tcPr>
            <w:tcW w:type="dxa" w:w="1872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5. TRACK</w:t>
            </w:r>
          </w:p>
        </w:tc>
      </w:tr>
      <w:tr>
        <w:trPr>
          <w:cantSplit/>
        </w:trPr>
        <w:tc>
          <w:tcPr>
            <w:tcW w:type="dxa" w:w="1872"/>
            <w:shd w:fill="F7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color w:val="24313D"/>
                <w:sz w:val="18"/>
              </w:rPr>
              <w:t>Monitor approved tender sources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color w:val="24313D"/>
                <w:sz w:val="18"/>
              </w:rPr>
              <w:t>Extract facts and requirements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color w:val="24313D"/>
                <w:sz w:val="18"/>
              </w:rPr>
              <w:t>Score fit and identify blockers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color w:val="24313D"/>
                <w:sz w:val="18"/>
              </w:rPr>
              <w:t>Prioritize, assign, and draft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color w:val="24313D"/>
                <w:sz w:val="18"/>
              </w:rPr>
              <w:t>Alert on changes and deadlines</w:t>
            </w:r>
          </w:p>
        </w:tc>
      </w:tr>
    </w:tbl>
    <w:p>
      <w:pPr>
        <w:sectPr>
          <w:headerReference w:type="default" r:id="rId15"/>
          <w:headerReference w:type="even" r:id="rId16"/>
          <w:headerReference w:type="first" r:id="rId17"/>
          <w:footerReference w:type="default" r:id="rId18"/>
          <w:footerReference w:type="even" r:id="rId19"/>
          <w:footerReference w:type="first" r:id="rId2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4. Feature overview</w:t>
      </w:r>
    </w:p>
    <w:p>
      <w:pPr>
        <w:spacing w:before="100" w:after="200" w:line="288" w:lineRule="auto"/>
        <w:ind w:left="173" w:right="115"/>
        <w:shd w:fill="EAF7F5"/>
        <w:pBdr>
          <w:left w:val="single" w:sz="20" w:space="8" w:color="159D8C"/>
        </w:pBdr>
      </w:pPr>
      <w:r>
        <w:rPr>
          <w:rFonts w:ascii="Calibri" w:hAnsi="Calibri"/>
          <w:b/>
          <w:color w:val="159D8C"/>
          <w:sz w:val="19"/>
        </w:rPr>
        <w:t xml:space="preserve">DESIGN PRINCIPLE  </w:t>
      </w:r>
      <w:r>
        <w:rPr>
          <w:rFonts w:ascii="Calibri" w:hAnsi="Calibri"/>
          <w:b/>
          <w:color w:val="24313D"/>
          <w:sz w:val="22"/>
        </w:rPr>
        <w:t>Every recommendation should answer three questions: Why does this fit? What could block us? Where did the fact come from?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4.1 Company profile and knowledge base</w:t>
      </w:r>
    </w:p>
    <w:p>
      <w:pPr>
        <w:spacing w:after="120" w:line="300" w:lineRule="auto"/>
      </w:pPr>
      <w:r>
        <w:rPr>
          <w:rFonts w:ascii="Calibri" w:hAnsi="Calibri"/>
          <w:color w:val="24313D"/>
        </w:rPr>
        <w:t>The agent starts with a versioned picture of what the company can genuinely deliver.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Confirmed offerings, target sectors, use cases, keywords, CPV hints, and service geographies.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Preferred contract-value range, strategic priorities, certifications, and explicit exclusions.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Alert recipients and profile version history, so later scores can be understood in context.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Capability-document upload with extracted evidence marked for confirmation before it can support company claims.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4.2 Automated tender discovery</w:t>
      </w:r>
    </w:p>
    <w:p>
      <w:pPr>
        <w:spacing w:after="120" w:line="300" w:lineRule="auto"/>
      </w:pPr>
      <w:r>
        <w:rPr>
          <w:rFonts w:ascii="Calibri" w:hAnsi="Calibri"/>
          <w:color w:val="24313D"/>
        </w:rPr>
        <w:t>Scheduled scans collect opportunities from approved public, machine-readable procurement sources.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Support for RSS, Atom, generic JSON, and OCDS JSON feeds.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Configurable keywords and source schedule, with a public German tender feed as the default demonstration source.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Background job queue, progress polling, idempotent scan requests, and exponential retry backoff.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Source-health monitoring that shows current, stale, failed, and last-success information.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4.3 Normalization, deduplication, and change detection</w:t>
      </w:r>
    </w:p>
    <w:p>
      <w:pPr>
        <w:spacing w:after="120" w:line="300" w:lineRule="auto"/>
      </w:pPr>
      <w:r>
        <w:rPr>
          <w:rFonts w:ascii="Calibri" w:hAnsi="Calibri"/>
          <w:color w:val="24313D"/>
        </w:rPr>
        <w:t>Raw notices become stable opportunity records that can be tracked across repeated scans.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Conservative canonicalization to avoid merging unrelated tenders.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Multiple source references can point to one canonical tender.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Immutable, content-hashed source snapshots preserve what the system saw at each point in time.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Material updates create lifecycle events and visibly mark opportunities as NEW or UPDATED.</w:t>
      </w:r>
    </w:p>
    <w:p>
      <w:pPr>
        <w:sectPr>
          <w:headerReference w:type="default" r:id="rId21"/>
          <w:headerReference w:type="even" r:id="rId22"/>
          <w:headerReference w:type="first" r:id="rId23"/>
          <w:footerReference w:type="default" r:id="rId24"/>
          <w:footerReference w:type="even" r:id="rId25"/>
          <w:footerReference w:type="first" r:id="rId26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0" w:after="60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4.4 Secure document acquisition and extraction</w:t>
      </w:r>
    </w:p>
    <w:p>
      <w:pPr>
        <w:spacing w:after="120" w:line="300" w:lineRule="auto"/>
      </w:pPr>
      <w:r>
        <w:rPr>
          <w:rFonts w:ascii="Calibri" w:hAnsi="Calibri"/>
          <w:color w:val="24313D"/>
        </w:rPr>
        <w:t>The agent safely obtains and interprets tender attachments before using them for qualification.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File-type and size restrictions, SHA-256 content-addressed storage, and malware scanning with ClamAV.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Fail-closed security by default, with parsing for PDF, DOCX, XLSX/XLS, text, and CSV documents.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Page and sheet markers for evidence location, plus an OCR-required state for image-only PDFs.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Extraction of deadlines, buyer, procedure, CPV, lots, geography, value, mandatory requirements, award criteria, contract period, and contact details when available.</w:t>
      </w:r>
    </w:p>
    <w:p>
      <w:pPr>
        <w:spacing w:before="0" w:after="12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4.5 Explainable qualification and scoring</w:t>
      </w:r>
    </w:p>
    <w:p>
      <w:pPr>
        <w:spacing w:after="120" w:line="300" w:lineRule="auto"/>
      </w:pPr>
      <w:r>
        <w:rPr>
          <w:rFonts w:ascii="Calibri" w:hAnsi="Calibri"/>
          <w:color w:val="24313D"/>
        </w:rPr>
        <w:t>Each opportunity is screened by deterministic gates and then scored against the current company profile.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Hard filters for passed deadlines, closed/cancelled/awarded notices, and explicit company exclusions.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Transparent 100-point score: scope 35%, sector 20%, eligibility 20%, geography/value 15%, and strategic fit 10%.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Eligibility states, blockers, missing information, match reasons, and a recommendation rationale; unknown facts remain REVIEW.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HOT, REVIEW, WATCH, and CLOSED states help users focus on urgency and fit.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4.6 Evidence and provenance</w:t>
      </w:r>
    </w:p>
    <w:p>
      <w:pPr>
        <w:spacing w:after="120" w:line="300" w:lineRule="auto"/>
      </w:pPr>
      <w:r>
        <w:rPr>
          <w:rFonts w:ascii="Calibri" w:hAnsi="Calibri"/>
          <w:color w:val="24313D"/>
        </w:rPr>
        <w:t>Important facts remain connected to the material that supports them.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Evidence records include the source URL, snapshot or document, excerpt, page/sheet/section, extraction method, validation state, and content hash.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Users can open the original notice and inspect source excerpts from the opportunity detail view.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Critical evidence gaps are surfaced as review items instead of hidden.</w:t>
      </w:r>
    </w:p>
    <w:p>
      <w:pPr>
        <w:sectPr>
          <w:headerReference w:type="default" r:id="rId27"/>
          <w:headerReference w:type="even" r:id="rId28"/>
          <w:headerReference w:type="first" r:id="rId29"/>
          <w:footerReference w:type="default" r:id="rId30"/>
          <w:footerReference w:type="even" r:id="rId31"/>
          <w:footerReference w:type="first" r:id="rId3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4.7 Opportunity radar and search</w:t>
      </w:r>
    </w:p>
    <w:p>
      <w:pPr>
        <w:spacing w:after="120" w:line="300" w:lineRule="auto"/>
      </w:pPr>
      <w:r>
        <w:rPr>
          <w:rFonts w:ascii="Calibri" w:hAnsi="Calibri"/>
          <w:color w:val="24313D"/>
        </w:rPr>
        <w:t>The main dashboard is deadline-first and action-oriented.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Prioritized opportunity list with title, buyer, next deadline, qualification score, eligibility, and suggested next action.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Search across titles, buyers, and match reasons.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Filters for all, hot, review, watch, new, updated, and shortlisted opportunities.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Summary counts for hot, review, and shortlisted items.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Detailed view for requirements, evidence, blockers, unknowns, score rationale, and original source links.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4.8 Human decision workflow</w:t>
      </w:r>
    </w:p>
    <w:p>
      <w:pPr>
        <w:spacing w:after="120" w:line="300" w:lineRule="auto"/>
      </w:pPr>
      <w:r>
        <w:rPr>
          <w:rFonts w:ascii="Calibri" w:hAnsi="Calibri"/>
          <w:color w:val="24313D"/>
        </w:rPr>
        <w:t>The agent prepares decisions while keeping accountability with the team.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Shortlist, mark reviewed, or skip an opportunity.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Assign an owner email and record a decision note or next step.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Retain decision history for accountability and later review.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Keep customer-owned data scoped to its organization boundary.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4.9 Grounded response starter</w:t>
      </w:r>
    </w:p>
    <w:p>
      <w:pPr>
        <w:spacing w:after="120" w:line="300" w:lineRule="auto"/>
      </w:pPr>
      <w:r>
        <w:rPr>
          <w:rFonts w:ascii="Calibri" w:hAnsi="Calibri"/>
          <w:color w:val="24313D"/>
        </w:rPr>
        <w:t>For a selected opportunity, NOAVIA creates a structured starting point for the bid team.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Requirements checklist and compliance matrix.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Clarification questions and internal questions for unresolved facts.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Proposal outline aligned with the tender structure.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Company claims drawn only from confirmed profile facts; missing evidence remains an explicit TODO.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On-demand generation so users choose when to invest drafting effort.</w:t>
      </w:r>
    </w:p>
    <w:p>
      <w:pPr>
        <w:sectPr>
          <w:headerReference w:type="default" r:id="rId33"/>
          <w:headerReference w:type="even" r:id="rId34"/>
          <w:headerReference w:type="first" r:id="rId35"/>
          <w:footerReference w:type="default" r:id="rId36"/>
          <w:footerReference w:type="even" r:id="rId37"/>
          <w:footerReference w:type="first" r:id="rId3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4.10 Alerts, deadlines, and monitoring</w:t>
      </w:r>
    </w:p>
    <w:p>
      <w:pPr>
        <w:spacing w:after="120" w:line="300" w:lineRule="auto"/>
      </w:pPr>
      <w:r>
        <w:rPr>
          <w:rFonts w:ascii="Calibri" w:hAnsi="Calibri"/>
          <w:color w:val="24313D"/>
        </w:rPr>
        <w:t>The agent keeps attention on high-fit opportunities and material changes.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In-app alerts for high-fit matches, material updates, and shortlisted deadlines.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Configurable match threshold, reminder days, email enablement, and material-update preferences.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Idempotent alert creation to avoid duplicate notification noise.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Local email demonstration through Mailpit, with configurable SMTP for production delivery.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Daily scheduling and deadline reminders with retry behavior.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4.11 Audit, operations, and deployment</w:t>
      </w:r>
    </w:p>
    <w:p>
      <w:pPr>
        <w:spacing w:after="120" w:line="300" w:lineRule="auto"/>
      </w:pPr>
      <w:r>
        <w:rPr>
          <w:rFonts w:ascii="Calibri" w:hAnsi="Calibri"/>
          <w:color w:val="24313D"/>
        </w:rPr>
        <w:t>The MVP includes the operational foundation required for a controlled pilot.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Audit events for profile changes, uploads, scans, decisions, drafts, and other meaningful actions.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Readiness and liveness endpoints plus Prometheus metrics and optional Grafana monitoring.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Database migrations, PostgreSQL persistence, content-addressed object storage, and backup guidance.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Docker Compose packaging for repeatable local or self-hosted deployment.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Tenant-scoped queries using a trusted organization header supplied by an authenticating reverse proxy.</w:t>
      </w:r>
    </w:p>
    <w:p>
      <w:pPr>
        <w:sectPr>
          <w:headerReference w:type="default" r:id="rId39"/>
          <w:headerReference w:type="even" r:id="rId40"/>
          <w:headerReference w:type="first" r:id="rId41"/>
          <w:footerReference w:type="default" r:id="rId42"/>
          <w:footerReference w:type="even" r:id="rId43"/>
          <w:footerReference w:type="first" r:id="rId44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5. Typical user journey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0B2545"/>
        </w:rPr>
        <w:t xml:space="preserve">Create the company profile. </w:t>
      </w:r>
      <w:r>
        <w:rPr>
          <w:rFonts w:ascii="Calibri" w:hAnsi="Calibri"/>
          <w:color w:val="24313D"/>
        </w:rPr>
        <w:t>Confirm capabilities, target markets, exclusions, priorities, and alert recipients.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0B2545"/>
        </w:rPr>
        <w:t xml:space="preserve">Run or schedule a scan. </w:t>
      </w:r>
      <w:r>
        <w:rPr>
          <w:rFonts w:ascii="Calibri" w:hAnsi="Calibri"/>
          <w:color w:val="24313D"/>
        </w:rPr>
        <w:t>The agent retrieves new and changed notices from configured sources.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0B2545"/>
        </w:rPr>
        <w:t xml:space="preserve">Review the radar. </w:t>
      </w:r>
      <w:r>
        <w:rPr>
          <w:rFonts w:ascii="Calibri" w:hAnsi="Calibri"/>
          <w:color w:val="24313D"/>
        </w:rPr>
        <w:t>Start with HOT items and the nearest deadlines, then inspect blockers and unknowns.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0B2545"/>
        </w:rPr>
        <w:t xml:space="preserve">Verify the evidence. </w:t>
      </w:r>
      <w:r>
        <w:rPr>
          <w:rFonts w:ascii="Calibri" w:hAnsi="Calibri"/>
          <w:color w:val="24313D"/>
        </w:rPr>
        <w:t>Open source excerpts, requirements, and the original notice before making a decision.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0B2545"/>
        </w:rPr>
        <w:t xml:space="preserve">Record the decision. </w:t>
      </w:r>
      <w:r>
        <w:rPr>
          <w:rFonts w:ascii="Calibri" w:hAnsi="Calibri"/>
          <w:color w:val="24313D"/>
        </w:rPr>
        <w:t>Shortlist, review, or skip; assign an owner and add the next action.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0B2545"/>
        </w:rPr>
        <w:t xml:space="preserve">Generate the response starter. </w:t>
      </w:r>
      <w:r>
        <w:rPr>
          <w:rFonts w:ascii="Calibri" w:hAnsi="Calibri"/>
          <w:color w:val="24313D"/>
        </w:rPr>
        <w:t>Use the checklist, compliance matrix, questions, and outline to begin bid preparation.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0B2545"/>
        </w:rPr>
        <w:t xml:space="preserve">Track changes and deadlines. </w:t>
      </w:r>
      <w:r>
        <w:rPr>
          <w:rFonts w:ascii="Calibri" w:hAnsi="Calibri"/>
          <w:color w:val="24313D"/>
        </w:rPr>
        <w:t>Use in-app and email alerts to keep the opportunity moving.</w:t>
      </w:r>
    </w:p>
    <w:p>
      <w:pPr>
        <w:sectPr>
          <w:headerReference w:type="default" r:id="rId45"/>
          <w:headerReference w:type="even" r:id="rId46"/>
          <w:headerReference w:type="first" r:id="rId47"/>
          <w:footerReference w:type="default" r:id="rId48"/>
          <w:footerReference w:type="even" r:id="rId49"/>
          <w:footerReference w:type="first" r:id="rId5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6. Client value</w:t>
      </w:r>
    </w:p>
    <w:p>
      <w:pPr>
        <w:spacing w:after="120" w:line="300" w:lineRule="auto"/>
      </w:pPr>
      <w:r>
        <w:rPr>
          <w:rFonts w:ascii="Calibri" w:hAnsi="Calibri"/>
          <w:b/>
          <w:color w:val="0B2545"/>
        </w:rPr>
        <w:t xml:space="preserve">Faster discovery  </w:t>
      </w:r>
      <w:r>
        <w:rPr>
          <w:rFonts w:ascii="Calibri" w:hAnsi="Calibri"/>
          <w:color w:val="24313D"/>
        </w:rPr>
        <w:t>Automated monitoring replaces repeated manual checks of known public feeds.</w:t>
      </w:r>
    </w:p>
    <w:p>
      <w:pPr>
        <w:spacing w:after="120" w:line="300" w:lineRule="auto"/>
      </w:pPr>
      <w:r>
        <w:rPr>
          <w:rFonts w:ascii="Calibri" w:hAnsi="Calibri"/>
          <w:b/>
          <w:color w:val="0B2545"/>
        </w:rPr>
        <w:t xml:space="preserve">Better focus  </w:t>
      </w:r>
      <w:r>
        <w:rPr>
          <w:rFonts w:ascii="Calibri" w:hAnsi="Calibri"/>
          <w:color w:val="24313D"/>
        </w:rPr>
        <w:t>Profile-based scoring and hard filters direct attention to opportunities with stronger strategic fit.</w:t>
      </w:r>
    </w:p>
    <w:p>
      <w:pPr>
        <w:spacing w:after="120" w:line="300" w:lineRule="auto"/>
      </w:pPr>
      <w:r>
        <w:rPr>
          <w:rFonts w:ascii="Calibri" w:hAnsi="Calibri"/>
          <w:b/>
          <w:color w:val="0B2545"/>
        </w:rPr>
        <w:t xml:space="preserve">Earlier action  </w:t>
      </w:r>
      <w:r>
        <w:rPr>
          <w:rFonts w:ascii="Calibri" w:hAnsi="Calibri"/>
          <w:color w:val="24313D"/>
        </w:rPr>
        <w:t>Deadline-first ordering, ownership, and alerts reduce the risk of noticing a tender too late.</w:t>
      </w:r>
    </w:p>
    <w:p>
      <w:pPr>
        <w:spacing w:after="120" w:line="300" w:lineRule="auto"/>
      </w:pPr>
      <w:r>
        <w:rPr>
          <w:rFonts w:ascii="Calibri" w:hAnsi="Calibri"/>
          <w:b/>
          <w:color w:val="0B2545"/>
        </w:rPr>
        <w:t xml:space="preserve">More defensible decisions  </w:t>
      </w:r>
      <w:r>
        <w:rPr>
          <w:rFonts w:ascii="Calibri" w:hAnsi="Calibri"/>
          <w:color w:val="24313D"/>
        </w:rPr>
        <w:t>Blockers, unknowns, scoring components, source evidence, and decision history make bid/no-bid choices explainable.</w:t>
      </w:r>
    </w:p>
    <w:p>
      <w:pPr>
        <w:spacing w:after="120" w:line="300" w:lineRule="auto"/>
      </w:pPr>
      <w:r>
        <w:rPr>
          <w:rFonts w:ascii="Calibri" w:hAnsi="Calibri"/>
          <w:b/>
          <w:color w:val="0B2545"/>
        </w:rPr>
        <w:t xml:space="preserve">Faster response preparation  </w:t>
      </w:r>
      <w:r>
        <w:rPr>
          <w:rFonts w:ascii="Calibri" w:hAnsi="Calibri"/>
          <w:color w:val="24313D"/>
        </w:rPr>
        <w:t>A grounded response starter gives the proposal team a structured first working document without inventing company facts.</w:t>
      </w:r>
    </w:p>
    <w:p>
      <w:pPr>
        <w:spacing w:after="120" w:line="300" w:lineRule="auto"/>
      </w:pPr>
      <w:r>
        <w:rPr>
          <w:rFonts w:ascii="Calibri" w:hAnsi="Calibri"/>
          <w:b/>
          <w:color w:val="0B2545"/>
        </w:rPr>
        <w:t xml:space="preserve">Controlled data handling  </w:t>
      </w:r>
      <w:r>
        <w:rPr>
          <w:rFonts w:ascii="Calibri" w:hAnsi="Calibri"/>
          <w:color w:val="24313D"/>
        </w:rPr>
        <w:t>Self-hosted deployment, local storage, malware scanning, tenant scoping, and optional external-model use support a privacy-conscious operating model.</w:t>
      </w:r>
    </w:p>
    <w:p>
      <w:pPr>
        <w:pStyle w:val="Heading1"/>
      </w:pPr>
      <w:r>
        <w:t>7. Current MVP readiness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EE6"/>
          <w:left w:val="single" w:sz="6" w:space="0" w:color="D5DEE6"/>
          <w:bottom w:val="single" w:sz="6" w:space="0" w:color="D5DEE6"/>
          <w:right w:val="single" w:sz="6" w:space="0" w:color="D5DEE6"/>
          <w:insideH w:val="single" w:sz="6" w:space="0" w:color="D5DEE6"/>
          <w:insideV w:val="single" w:sz="6" w:space="0" w:color="D5DEE6"/>
        </w:tblBorders>
      </w:tblPr>
      <w:tblGrid>
        <w:gridCol w:w="2050"/>
        <w:gridCol w:w="3000"/>
        <w:gridCol w:w="4310"/>
      </w:tblGrid>
      <w:tr>
        <w:trPr>
          <w:tblHeader w:val="true"/>
          <w:cantSplit/>
        </w:trPr>
        <w:tc>
          <w:tcPr>
            <w:tcW w:type="dxa" w:w="2050"/>
            <w:shd w:fill="0B254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3000"/>
            <w:shd w:fill="0B254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CURRENT STATUS</w:t>
            </w:r>
          </w:p>
        </w:tc>
        <w:tc>
          <w:tcPr>
            <w:tcW w:type="dxa" w:w="4310"/>
            <w:shd w:fill="0B254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CLIENT MEANING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24313D"/>
                <w:sz w:val="19"/>
              </w:rPr>
              <w:t>Core workflow</w:t>
            </w:r>
          </w:p>
        </w:tc>
        <w:tc>
          <w:tcPr>
            <w:tcW w:type="dxa" w:w="3000"/>
            <w:shd w:fill="EAF7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Implemented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Profile, scan, qualification, evidence review, decision, draft, alerts, and source health operate as one vertical slice.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24313D"/>
                <w:sz w:val="19"/>
              </w:rPr>
              <w:t>Local demonstration</w:t>
            </w:r>
          </w:p>
        </w:tc>
        <w:tc>
          <w:tcPr>
            <w:tcW w:type="dxa" w:w="3000"/>
            <w:shd w:fill="EAF7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Ready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The complete stack runs through Docker Compose with the web app, API, worker, scheduler, database, file scanner, and local email viewer.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24313D"/>
                <w:sz w:val="19"/>
              </w:rPr>
              <w:t>Automated verification</w:t>
            </w:r>
          </w:p>
        </w:tc>
        <w:tc>
          <w:tcPr>
            <w:tcW w:type="dxa" w:w="3000"/>
            <w:shd w:fill="EAF7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Passing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Backend tests, frontend production build, container builds, database migrations, and an end-to-end synthetic flow have been verified.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24313D"/>
                <w:sz w:val="19"/>
              </w:rPr>
              <w:t>Pilot accuracy claims</w:t>
            </w:r>
          </w:p>
        </w:tc>
        <w:tc>
          <w:tcPr>
            <w:tcW w:type="dxa" w:w="3000"/>
            <w:shd w:fill="FFF7E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Evaluation required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The external golden-set test defined in the specification must be completed before publishing percentage claims for extraction, relevance, deduplication, updates, or draft factuality.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24313D"/>
                <w:sz w:val="19"/>
              </w:rPr>
              <w:t>Public production exposure</w:t>
            </w:r>
          </w:p>
        </w:tc>
        <w:tc>
          <w:tcPr>
            <w:tcW w:type="dxa" w:w="3000"/>
            <w:shd w:fill="FCECE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Hardening required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Add trusted authentication, HTTPS, real secrets, encrypted backup/storage controls, private infrastructure ports, and production SMTP before internet exposure.</w:t>
            </w:r>
          </w:p>
        </w:tc>
      </w:tr>
    </w:tbl>
    <w:p>
      <w:pPr>
        <w:sectPr>
          <w:headerReference w:type="default" r:id="rId51"/>
          <w:headerReference w:type="even" r:id="rId52"/>
          <w:headerReference w:type="first" r:id="rId53"/>
          <w:footerReference w:type="default" r:id="rId54"/>
          <w:footerReference w:type="even" r:id="rId55"/>
          <w:footerReference w:type="first" r:id="rId56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0" w:after="360"/>
      </w:pPr>
    </w:p>
    <w:p>
      <w:pPr>
        <w:pStyle w:val="Heading1"/>
      </w:pPr>
      <w:r>
        <w:t>8. MVP boundaries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The current ingestion layer is for approved public machine-readable feeds; it does not bypass logins or scrape authenticated procurement portals.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Image-only documents are identified as OCR-required rather than treated as verified text.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Human review remains mandatory for eligibility, legal interpretation, final bid/no-bid decisions, and submission content.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The local deployment trusts an authentication proxy to supply the organization identity; the starter must not be exposed directly to the public internet.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13D"/>
        </w:rPr>
        <w:t>Quantitative pilot targets require a manually labelled evaluation set of at least 50 representative tenders and five synthetic company profiles.</w:t>
      </w:r>
    </w:p>
    <w:p>
      <w:pPr>
        <w:spacing w:before="100" w:after="200" w:line="288" w:lineRule="auto"/>
        <w:ind w:left="173" w:right="115"/>
        <w:shd w:fill="EAF7F5"/>
        <w:pBdr>
          <w:left w:val="single" w:sz="20" w:space="8" w:color="159D8C"/>
        </w:pBdr>
      </w:pPr>
      <w:r>
        <w:rPr>
          <w:rFonts w:ascii="Calibri" w:hAnsi="Calibri"/>
          <w:b/>
          <w:color w:val="159D8C"/>
          <w:sz w:val="19"/>
        </w:rPr>
        <w:t xml:space="preserve">POSITIONING  </w:t>
      </w:r>
      <w:r>
        <w:rPr>
          <w:rFonts w:ascii="Calibri" w:hAnsi="Calibri"/>
          <w:b/>
          <w:color w:val="24313D"/>
          <w:sz w:val="22"/>
        </w:rPr>
        <w:t>NOAVIA is best presented as an evidence-first opportunity qualification copilot: it finds and organizes the work, explains its reasoning, and helps the team act sooner - while people retain control of every commercial decision.</w:t>
      </w:r>
    </w:p>
    <w:sectPr w:rsidR="00FC693F" w:rsidRPr="0006063C" w:rsidSect="00034616">
      <w:headerReference w:type="default" r:id="rId57"/>
      <w:headerReference w:type="even" r:id="rId58"/>
      <w:headerReference w:type="first" r:id="rId59"/>
      <w:footerReference w:type="default" r:id="rId60"/>
      <w:footerReference w:type="even" r:id="rId61"/>
      <w:footerReference w:type="first" r:id="rId6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E6B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E6B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E6B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E6B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E6B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E6B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E6B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E6B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E6B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E6B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E6B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E6B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E6B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E6B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E6B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E6B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E6B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E6B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E6B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E6B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E6B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E6B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E6B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E6B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E6B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E6B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E6B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</w:p>
</w:hdr>
</file>

<file path=word/header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</w:p>
</w:hdr>
</file>

<file path=word/header2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</w:p>
</w:hdr>
</file>

<file path=word/header2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</w:p>
</w:hdr>
</file>

<file path=word/header2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</w:p>
</w:hdr>
</file>

<file path=word/header2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431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i/>
      <w:iCs/>
      <w:color w:val="5E6B75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header" Target="header5.xml"/><Relationship Id="rId17" Type="http://schemas.openxmlformats.org/officeDocument/2006/relationships/header" Target="header6.xml"/><Relationship Id="rId18" Type="http://schemas.openxmlformats.org/officeDocument/2006/relationships/footer" Target="footer4.xml"/><Relationship Id="rId19" Type="http://schemas.openxmlformats.org/officeDocument/2006/relationships/footer" Target="footer5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header" Target="header8.xml"/><Relationship Id="rId23" Type="http://schemas.openxmlformats.org/officeDocument/2006/relationships/header" Target="header9.xml"/><Relationship Id="rId24" Type="http://schemas.openxmlformats.org/officeDocument/2006/relationships/footer" Target="footer7.xml"/><Relationship Id="rId25" Type="http://schemas.openxmlformats.org/officeDocument/2006/relationships/footer" Target="footer8.xml"/><Relationship Id="rId26" Type="http://schemas.openxmlformats.org/officeDocument/2006/relationships/footer" Target="footer9.xml"/><Relationship Id="rId27" Type="http://schemas.openxmlformats.org/officeDocument/2006/relationships/header" Target="header10.xml"/><Relationship Id="rId28" Type="http://schemas.openxmlformats.org/officeDocument/2006/relationships/header" Target="header11.xml"/><Relationship Id="rId29" Type="http://schemas.openxmlformats.org/officeDocument/2006/relationships/header" Target="header12.xml"/><Relationship Id="rId30" Type="http://schemas.openxmlformats.org/officeDocument/2006/relationships/footer" Target="footer10.xml"/><Relationship Id="rId31" Type="http://schemas.openxmlformats.org/officeDocument/2006/relationships/footer" Target="footer11.xml"/><Relationship Id="rId32" Type="http://schemas.openxmlformats.org/officeDocument/2006/relationships/footer" Target="footer12.xml"/><Relationship Id="rId33" Type="http://schemas.openxmlformats.org/officeDocument/2006/relationships/header" Target="header13.xml"/><Relationship Id="rId34" Type="http://schemas.openxmlformats.org/officeDocument/2006/relationships/header" Target="header14.xml"/><Relationship Id="rId35" Type="http://schemas.openxmlformats.org/officeDocument/2006/relationships/header" Target="header15.xml"/><Relationship Id="rId36" Type="http://schemas.openxmlformats.org/officeDocument/2006/relationships/footer" Target="footer13.xml"/><Relationship Id="rId37" Type="http://schemas.openxmlformats.org/officeDocument/2006/relationships/footer" Target="footer14.xml"/><Relationship Id="rId38" Type="http://schemas.openxmlformats.org/officeDocument/2006/relationships/footer" Target="footer15.xml"/><Relationship Id="rId39" Type="http://schemas.openxmlformats.org/officeDocument/2006/relationships/header" Target="header16.xml"/><Relationship Id="rId40" Type="http://schemas.openxmlformats.org/officeDocument/2006/relationships/header" Target="header17.xml"/><Relationship Id="rId41" Type="http://schemas.openxmlformats.org/officeDocument/2006/relationships/header" Target="header18.xml"/><Relationship Id="rId42" Type="http://schemas.openxmlformats.org/officeDocument/2006/relationships/footer" Target="footer16.xml"/><Relationship Id="rId43" Type="http://schemas.openxmlformats.org/officeDocument/2006/relationships/footer" Target="footer17.xml"/><Relationship Id="rId44" Type="http://schemas.openxmlformats.org/officeDocument/2006/relationships/footer" Target="footer18.xml"/><Relationship Id="rId45" Type="http://schemas.openxmlformats.org/officeDocument/2006/relationships/header" Target="header19.xml"/><Relationship Id="rId46" Type="http://schemas.openxmlformats.org/officeDocument/2006/relationships/header" Target="header20.xml"/><Relationship Id="rId47" Type="http://schemas.openxmlformats.org/officeDocument/2006/relationships/header" Target="header21.xml"/><Relationship Id="rId48" Type="http://schemas.openxmlformats.org/officeDocument/2006/relationships/footer" Target="footer19.xml"/><Relationship Id="rId49" Type="http://schemas.openxmlformats.org/officeDocument/2006/relationships/footer" Target="footer20.xml"/><Relationship Id="rId50" Type="http://schemas.openxmlformats.org/officeDocument/2006/relationships/footer" Target="footer21.xml"/><Relationship Id="rId51" Type="http://schemas.openxmlformats.org/officeDocument/2006/relationships/header" Target="header22.xml"/><Relationship Id="rId52" Type="http://schemas.openxmlformats.org/officeDocument/2006/relationships/header" Target="header23.xml"/><Relationship Id="rId53" Type="http://schemas.openxmlformats.org/officeDocument/2006/relationships/header" Target="header24.xml"/><Relationship Id="rId54" Type="http://schemas.openxmlformats.org/officeDocument/2006/relationships/footer" Target="footer22.xml"/><Relationship Id="rId55" Type="http://schemas.openxmlformats.org/officeDocument/2006/relationships/footer" Target="footer23.xml"/><Relationship Id="rId56" Type="http://schemas.openxmlformats.org/officeDocument/2006/relationships/footer" Target="footer24.xml"/><Relationship Id="rId57" Type="http://schemas.openxmlformats.org/officeDocument/2006/relationships/header" Target="header25.xml"/><Relationship Id="rId58" Type="http://schemas.openxmlformats.org/officeDocument/2006/relationships/header" Target="header26.xml"/><Relationship Id="rId59" Type="http://schemas.openxmlformats.org/officeDocument/2006/relationships/header" Target="header27.xml"/><Relationship Id="rId60" Type="http://schemas.openxmlformats.org/officeDocument/2006/relationships/footer" Target="footer25.xml"/><Relationship Id="rId61" Type="http://schemas.openxmlformats.org/officeDocument/2006/relationships/footer" Target="footer26.xml"/><Relationship Id="rId62" Type="http://schemas.openxmlformats.org/officeDocument/2006/relationships/footer" Target="footer2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NOAVIA Tender Opportunity Hunter - Agent Overview and Features</dc:title>
  <dc:subject>Client-ready overview of the NOAVIA procurement intelligence agent</dc:subject>
  <dc:creator>NOAVIA</dc:creator>
  <cp:keywords>NOAVIA, tender, procurement, AI agent, MVP, features</cp:keywords>
  <dc:description>Prepared from the implemented MVP and developer specification.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