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4 – Part 1: Document Analysis Report</w:t>
      </w:r>
    </w:p>
    <w:p>
      <w:pPr>
        <w:jc w:val="center"/>
      </w:pPr>
      <w:r>
        <w:rPr>
          <w:sz w:val="24"/>
        </w:rPr>
        <w:t>DEF Private Limited – Transactions with XYZ LLC (China Supplier)</w:t>
      </w:r>
    </w:p>
    <w:p>
      <w:r>
        <w:rPr>
          <w:b/>
          <w:sz w:val="24"/>
        </w:rPr>
        <w:t>Executive Summary</w:t>
      </w:r>
    </w:p>
    <w:p>
      <w:r>
        <w:t>This analysis reviews four key documents related to a capital goods purchase by DEF Private Limited (ABC Group's Indian subsidiary) from XYZ LLC (China-based supplier). Multiple red flags indicate potential procurement fraud, over-invoicing, document manipulation, and collusion, consistent with prior whistleblower allegations (Task 2) and employee wealth concerns (Task 3). Key issues include invoice predating PO, currency/price mismatches, partial credit note, and premature asset capitalization without adjustment.</w:t>
      </w:r>
    </w:p>
    <w:p>
      <w:r>
        <w:rPr>
          <w:b/>
          <w:sz w:val="22"/>
        </w:rPr>
        <w:t>1. Sample Purchase Order (PO-002, 29 December 2023)</w:t>
      </w:r>
    </w:p>
    <w:p>
      <w:r>
        <w:rPr>
          <w:b/>
        </w:rPr>
        <w:t xml:space="preserve">Key Details: </w:t>
      </w:r>
      <w:r>
        <w:t>Issued by DEF to XYZ LLC for two capital equipment items (Earthmoving Equipment EV-JAQ-50 at 1.6M CN¥ and Plastic Processing Machinery EV_JAQ-100 at 0.8M CN¥). Total PO value: 2,400,000 CN¥. References 'telephonic conversations' only – no written quote or tender reference.</w:t>
      </w:r>
    </w:p>
    <w:p>
      <w:r>
        <w:rPr>
          <w:b/>
        </w:rPr>
        <w:t>Identified Risks &amp; Issues:</w:t>
      </w:r>
    </w:p>
    <w:p>
      <w:pPr>
        <w:pStyle w:val="ListBullet"/>
      </w:pPr>
      <w:r>
        <w:rPr>
          <w:sz w:val="20"/>
        </w:rPr>
        <w:t>Lack of competitive bidding or documented price justification – high risk of inflated pricing or favoritism toward XYZ LLC.</w:t>
      </w:r>
    </w:p>
    <w:p>
      <w:pPr>
        <w:pStyle w:val="ListBullet"/>
      </w:pPr>
      <w:r>
        <w:rPr>
          <w:sz w:val="20"/>
        </w:rPr>
        <w:t>Unusual reference to verbal agreement only; no supporting quotation or negotiation records.</w:t>
      </w:r>
    </w:p>
    <w:p>
      <w:pPr>
        <w:pStyle w:val="ListBullet"/>
      </w:pPr>
      <w:r>
        <w:rPr>
          <w:sz w:val="20"/>
        </w:rPr>
        <w:t>Quantities (1 each) and descriptions match subsequent documents, but prices in CN¥ create conversion ambiguity for INR-based entity.</w:t>
      </w:r>
    </w:p>
    <w:p>
      <w:pPr>
        <w:pStyle w:val="ListBullet"/>
      </w:pPr>
      <w:r>
        <w:rPr>
          <w:sz w:val="20"/>
        </w:rPr>
        <w:t>Potential fictitious or unauthorized PO if not properly approved by procurement head (ties to Task 3 employee).</w:t>
      </w:r>
    </w:p>
    <w:p>
      <w:r>
        <w:rPr>
          <w:b/>
          <w:sz w:val="22"/>
        </w:rPr>
        <w:t>2. Invoice Received from XYZ LLC (XYZIN-878, 25 December 2023)</w:t>
      </w:r>
    </w:p>
    <w:p>
      <w:r>
        <w:rPr>
          <w:b/>
        </w:rPr>
        <w:t xml:space="preserve">Key Details: </w:t>
      </w:r>
      <w:r>
        <w:t>Issued to DEF for the same two items, but in INR: 17M INR (EV-JAQ-50) + 9M INR (EV_JAQ-100) = 26M INR total. Invoice date 25 Dec 2023 (4 days BEFORE PO date).</w:t>
      </w:r>
    </w:p>
    <w:p>
      <w:r>
        <w:rPr>
          <w:b/>
        </w:rPr>
        <w:t>Identified Risks &amp; Issues:</w:t>
      </w:r>
    </w:p>
    <w:p>
      <w:pPr>
        <w:pStyle w:val="ListBullet"/>
      </w:pPr>
      <w:r>
        <w:rPr>
          <w:sz w:val="20"/>
        </w:rPr>
        <w:t>CRITICAL: Invoice issued BEFORE Purchase Order – violates standard procurement process (PO authorizes purchase; invoice follows delivery). Suggests backdating, collusion, or fictitious billing to enable premature payment or overpayment.</w:t>
      </w:r>
    </w:p>
    <w:p>
      <w:pPr>
        <w:pStyle w:val="ListBullet"/>
      </w:pPr>
      <w:r>
        <w:rPr>
          <w:sz w:val="20"/>
        </w:rPr>
        <w:t>Currency mismatch (PO in CN¥, Invoice in INR) with totals roughly equivalent at ~11.5-12 INR/CNY rate, but no documented exchange rate agreement or conversion clause – risk of hidden margins or manipulation.</w:t>
      </w:r>
    </w:p>
    <w:p>
      <w:pPr>
        <w:pStyle w:val="ListBullet"/>
      </w:pPr>
      <w:r>
        <w:rPr>
          <w:sz w:val="20"/>
        </w:rPr>
        <w:t>Prices appear inflated compared to PO equivalent (e.g., EV-JAQ-50: 1.6M CN¥ ≈ 18.4M INR vs invoiced 17M INR; slight variance but suspicious given timing).</w:t>
      </w:r>
    </w:p>
    <w:p>
      <w:pPr>
        <w:pStyle w:val="ListBullet"/>
      </w:pPr>
      <w:r>
        <w:rPr>
          <w:sz w:val="20"/>
        </w:rPr>
        <w:t>No reference to delivery, inspection, or goods receipt – risk of phantom supplier or non-delivery with payment still processed.</w:t>
      </w:r>
    </w:p>
    <w:p>
      <w:pPr>
        <w:pStyle w:val="ListBullet"/>
      </w:pPr>
      <w:r>
        <w:rPr>
          <w:sz w:val="20"/>
        </w:rPr>
        <w:t>Invoice number XYZIN-878 matches Credit Note number pattern, suggesting coordinated document set for fraud scheme.</w:t>
      </w:r>
    </w:p>
    <w:p>
      <w:r>
        <w:rPr>
          <w:b/>
          <w:sz w:val="22"/>
        </w:rPr>
        <w:t>3. Credit Note Received from XYZ LLC (CN-XYZIN-878, 03 January 2024)</w:t>
      </w:r>
    </w:p>
    <w:p>
      <w:r>
        <w:rPr>
          <w:b/>
        </w:rPr>
        <w:t xml:space="preserve">Key Details: </w:t>
      </w:r>
      <w:r>
        <w:t>Credits only the second item (EV_JAQ-100 Plastic Processing Machinery) for full 9M INR. References PO-002. Issued 5 days after FAR capitalization date. Total credit: 9M INR.</w:t>
      </w:r>
    </w:p>
    <w:p>
      <w:r>
        <w:rPr>
          <w:b/>
        </w:rPr>
        <w:t>Identified Risks &amp; Issues:</w:t>
      </w:r>
    </w:p>
    <w:p>
      <w:pPr>
        <w:pStyle w:val="ListBullet"/>
      </w:pPr>
      <w:r>
        <w:rPr>
          <w:sz w:val="20"/>
        </w:rPr>
        <w:t>Partial credit only (one of two items) – unjustified without explanation for why only one asset was credited (return? defect? overcharge?). Appears selective to potentially mask overpayment on the first item (Earthmoving Equipment).</w:t>
      </w:r>
    </w:p>
    <w:p>
      <w:pPr>
        <w:pStyle w:val="ListBullet"/>
      </w:pPr>
      <w:r>
        <w:rPr>
          <w:sz w:val="20"/>
        </w:rPr>
        <w:t>Issued AFTER assets were capitalized in FAR (29 Dec) – credit should trigger immediate asset value adjustment and depreciation reversal, but FAR as of 10 Jan shows no update.</w:t>
      </w:r>
    </w:p>
    <w:p>
      <w:pPr>
        <w:pStyle w:val="ListBullet"/>
      </w:pPr>
      <w:r>
        <w:rPr>
          <w:sz w:val="20"/>
        </w:rPr>
        <w:t>Timing (3 Jan) shortly after year-end (31 Dec) raises risk of window-dressing or year-end manipulation to reduce payables artificially while keeping assets overstated.</w:t>
      </w:r>
    </w:p>
    <w:p>
      <w:pPr>
        <w:pStyle w:val="ListBullet"/>
      </w:pPr>
      <w:r>
        <w:rPr>
          <w:sz w:val="20"/>
        </w:rPr>
        <w:t>Credit Note number CN-XYZIN-878 mirrors Invoice number – indicates pre-planned or back-to-back fraudulent documents rather than genuine adjustment.</w:t>
      </w:r>
    </w:p>
    <w:p>
      <w:pPr>
        <w:pStyle w:val="ListBullet"/>
      </w:pPr>
      <w:r>
        <w:rPr>
          <w:sz w:val="20"/>
        </w:rPr>
        <w:t>No evidence of goods return, quality issue, or negotiation – risk of fictitious credit used to facilitate kickback or fund diversion (e.g., credit applied elsewhere or cashed out).</w:t>
      </w:r>
    </w:p>
    <w:p>
      <w:r>
        <w:rPr>
          <w:b/>
          <w:sz w:val="22"/>
        </w:rPr>
        <w:t>4. Fixed Asset Register (FAR) of DEF Private Limited as on 10 January 2024</w:t>
      </w:r>
    </w:p>
    <w:p>
      <w:r>
        <w:rPr>
          <w:b/>
        </w:rPr>
        <w:t xml:space="preserve">Key Details: </w:t>
      </w:r>
      <w:r>
        <w:t>Both PO items (EV-JAQ-50 ECM-1 and EV_JAQ-100 PPM-1) recorded as capitalized on 29-Dec-23 (purchase &amp; put-to-use same day). Other older assets (furniture, computers, cars) from 2017-2018 also listed. No depreciation details shown in excerpt.</w:t>
      </w:r>
    </w:p>
    <w:p>
      <w:r>
        <w:rPr>
          <w:b/>
        </w:rPr>
        <w:t>Identified Risks &amp; Issues:</w:t>
      </w:r>
    </w:p>
    <w:p>
      <w:pPr>
        <w:pStyle w:val="ListBullet"/>
      </w:pPr>
      <w:r>
        <w:rPr>
          <w:sz w:val="20"/>
        </w:rPr>
        <w:t>Premature capitalization: Assets 'put to use' on same day as PO (29 Dec) with no evidence of physical receipt, installation, or inspection – risk of 'ghost assets' or fictitious capitalization to inflate balance sheet.</w:t>
      </w:r>
    </w:p>
    <w:p>
      <w:pPr>
        <w:pStyle w:val="ListBullet"/>
      </w:pPr>
      <w:r>
        <w:rPr>
          <w:sz w:val="20"/>
        </w:rPr>
        <w:t>No adjustment for Credit Note: Credit Note issued 03 Jan 2024 for 9M INR on one asset, but FAR as of 10 Jan still reflects full value. Failure to reduce asset cost and reverse depreciation is a material misstatement.</w:t>
      </w:r>
    </w:p>
    <w:p>
      <w:pPr>
        <w:pStyle w:val="ListBullet"/>
      </w:pPr>
      <w:r>
        <w:rPr>
          <w:sz w:val="20"/>
        </w:rPr>
        <w:t>Immediate capitalization of high-value imported equipment (26M INR total) without supporting delivery note, customs clearance, or installation certificate – violates standard fixed asset controls.</w:t>
      </w:r>
    </w:p>
    <w:p>
      <w:pPr>
        <w:pStyle w:val="ListBullet"/>
      </w:pPr>
      <w:r>
        <w:rPr>
          <w:sz w:val="20"/>
        </w:rPr>
        <w:t>Pattern with prior tasks: Ties directly to Task 3 employee (Head of Procurement) wealth analysis – sudden high-value asset additions coincide with unexplained personal wealth accumulation, suggesting kickback-funded lifestyle.</w:t>
      </w:r>
    </w:p>
    <w:p>
      <w:pPr>
        <w:pStyle w:val="ListBullet"/>
      </w:pPr>
      <w:r>
        <w:rPr>
          <w:sz w:val="20"/>
        </w:rPr>
        <w:t>Inconsistent records risk: FAR does not reconcile with Credit Note timing or partial nature; potential for overstated assets, improper depreciation expense, and misleading financial statements.</w:t>
      </w:r>
    </w:p>
    <w:p>
      <w:r>
        <w:rPr>
          <w:b/>
          <w:sz w:val="22"/>
        </w:rPr>
        <w:t>Overall Conclusion &amp; Fraud Indicators</w:t>
      </w:r>
    </w:p>
    <w:p>
      <w:r>
        <w:rPr>
          <w:b/>
        </w:rPr>
        <w:t xml:space="preserve">This transaction exhibits multiple classic fraud indicators: </w:t>
      </w:r>
      <w:r>
        <w:t>invoice predating PO (document manipulation), price/currency inconsistencies (over-invoicing), partial/unjustified credit note (selective adjustment for concealment), and premature/no-adjustment asset capitalization (balance sheet inflation). The scheme likely involves overpayment by DEF to XYZ LLC (China), with kickbacks flowing back to DEF's Head of Procurement (consistent with Task 2 whistleblower complaints on procurement bribery and Task 3 wealth red flags). The 5-day gap between capitalization and credit note, combined with year-end timing, suggests intentional misstatement to meet reporting targets or facilitate year-end fraud. No competitive process, no delivery evidence, and complex cross-border currency handling increase risk of collusion and money laundering.</w:t>
      </w:r>
    </w:p>
    <w:p>
      <w:r>
        <w:rPr>
          <w:b/>
          <w:sz w:val="22"/>
        </w:rPr>
        <w:t>Recommended Next Steps (Part 2 Preparation)</w:t>
      </w:r>
    </w:p>
    <w:p>
      <w:pPr>
        <w:pStyle w:val="ListNumber"/>
      </w:pPr>
      <w:r>
        <w:rPr>
          <w:sz w:val="20"/>
        </w:rPr>
        <w:t>Reconcile all four documents with bank payment records, goods receipt notes, inspection reports, and customs/import documents for the two assets.</w:t>
      </w:r>
    </w:p>
    <w:p>
      <w:pPr>
        <w:pStyle w:val="ListNumber"/>
      </w:pPr>
      <w:r>
        <w:rPr>
          <w:sz w:val="20"/>
        </w:rPr>
        <w:t>Verify physical existence and current condition/location of the capitalized assets (EV-JAQ-50 and EV_JAQ-100) via site visit or third-party confirmation.</w:t>
      </w:r>
    </w:p>
    <w:p>
      <w:pPr>
        <w:pStyle w:val="ListNumber"/>
      </w:pPr>
      <w:r>
        <w:rPr>
          <w:sz w:val="20"/>
        </w:rPr>
        <w:t>Obtain and analyze the full general ledger entries, accounts payable aging, and any subsequent adjustments/credits related to XYZ LLC for FY 2023-24.</w:t>
      </w:r>
    </w:p>
    <w:p>
      <w:pPr>
        <w:pStyle w:val="ListNumber"/>
      </w:pPr>
      <w:r>
        <w:rPr>
          <w:sz w:val="20"/>
        </w:rPr>
        <w:t>Interview DEF procurement staff (including Head of Procurement from Task 3) and XYZ LLC representatives regarding the verbal agreement, pricing basis, and credit note justification.</w:t>
      </w:r>
    </w:p>
    <w:p>
      <w:pPr>
        <w:pStyle w:val="ListNumber"/>
      </w:pPr>
      <w:r>
        <w:rPr>
          <w:sz w:val="20"/>
        </w:rPr>
        <w:t>Perform data analytics on all XYZ LLC transactions (2018-present) to identify patterns of overpayment, round amounts, or unusual credits.</w:t>
      </w:r>
    </w:p>
    <w:p>
      <w:pPr>
        <w:pStyle w:val="ListNumber"/>
      </w:pPr>
      <w:r>
        <w:rPr>
          <w:sz w:val="20"/>
        </w:rPr>
        <w:t>Engage Chinese forensic team (per task background) to audit XYZ LLC books for corresponding over-invoicing and fund flows back to India/employee.</w:t>
      </w:r>
    </w:p>
    <w:p>
      <w:pPr>
        <w:pStyle w:val="ListNumber"/>
      </w:pPr>
      <w:r>
        <w:rPr>
          <w:sz w:val="20"/>
        </w:rPr>
        <w:t>Assess impact on DEF's financial statements (overstated assets, understated expenses) and recommend restatement if material.</w:t>
      </w:r>
    </w:p>
    <w:p>
      <w:pPr>
        <w:pStyle w:val="ListNumber"/>
      </w:pPr>
      <w:r>
        <w:rPr>
          <w:sz w:val="20"/>
        </w:rPr>
        <w:t>Escalate to ABC Group legal/compliance for potential breach of contract audit rights and anti-bribery investigation under UK Bribery Act / Indian Prevention of Corruption Act.</w:t>
      </w:r>
    </w:p>
    <w:p>
      <w:pPr>
        <w:jc w:val="center"/>
      </w:pPr>
      <w:r>
        <w:rPr>
          <w:i/>
          <w:sz w:val="18"/>
        </w:rPr>
        <w:br/>
        <w:t>Prepared by: EY Forensic &amp; Integrity Services | For ABC Group – Confidential | 05 May 2026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