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Trade Fail Report</w:t>
      </w:r>
    </w:p>
    <w:p>
      <w:r>
        <w:t>Date: April 29, 2026</w:t>
      </w:r>
    </w:p>
    <w:p>
      <w:r>
        <w:t>Analyst Name: Jordan Hale, Operations Analyst, Private Wealth Management Division, Goldman Sachs</w:t>
      </w:r>
    </w:p>
    <w:p>
      <w:r>
        <w:t>Client Name: Client A (UHNW Client - Takashi Murakami Painting Acquisition)</w:t>
      </w:r>
    </w:p>
    <w:p/>
    <w:p>
      <w:pPr>
        <w:pStyle w:val="Heading2"/>
      </w:pPr>
      <w:r>
        <w:t>1. Summary of Identified Issues</w:t>
      </w:r>
    </w:p>
    <w:p>
      <w:r>
        <w:t>Issue 1: TXN008 (Client A Buy $700,000) flagged "Funds not available." This liquidity shortfall directly impairs the client's ability to fund the time-sensitive purchase of the Takashi Murakami painting, risking deal failure if capital is not immediately accessible or bridged.</w:t>
      </w:r>
    </w:p>
    <w:p>
      <w:r>
        <w:t>Issue 2: Multiple Client A buy transactions stalled (TXN001 $1M - Awaiting funds transfer; TXN003 $1.5M - Pending compliance review; TXN006 $2.5M - Awaiting approval). These regulatory and operational holds are preventing efficient capital deployment and threaten to miss the narrow execution window for the high-value art acquisition.</w:t>
      </w:r>
    </w:p>
    <w:p>
      <w:r>
        <w:t>Issue 3: TXN010 (Client A Sell $2,200,000) marked "Awaiting documentation." This blocks settlement and inflow of ~$2.2M in proceeds, which are essential to restoring account liquidity following other pending activity and supporting the painting purchase funding requirements.</w:t>
      </w:r>
    </w:p>
    <w:p>
      <w:pPr>
        <w:pStyle w:val="Heading2"/>
      </w:pPr>
      <w:r>
        <w:t>2. Actions Taken</w:t>
      </w:r>
    </w:p>
    <w:p>
      <w:r>
        <w:t>Action for Issue 1: Escalated to Treasury for bridge financing facility collateralized by settled positions (including TXN002 $2M completed sell); performed full account cash position reconciliation and requested temporary overdraft authorization pending resolution.</w:t>
      </w:r>
    </w:p>
    <w:p>
      <w:r>
        <w:t>Action for Issue 2: Compiled and submitted expedited compliance dossier (purchase agreement, seller KYC, art appraisal, provenance) to Compliance and Risk Management with senior sponsorship request for priority review; initiated parallel documentation gathering for potential Legal sign-off on alternative investment.</w:t>
      </w:r>
    </w:p>
    <w:p>
      <w:r>
        <w:t>Action for Issue 3: Issued priority client notification via encrypted portal requesting immediate upload of pending documentation; pre-coordinated with Settlements team to expedite T+0 or same-day processing upon receipt to accelerate credit to the account.</w:t>
      </w:r>
    </w:p>
    <w:p>
      <w:pPr>
        <w:pStyle w:val="Heading2"/>
      </w:pPr>
      <w:r>
        <w:t>3. Teams Involved</w:t>
      </w:r>
    </w:p>
    <w:p>
      <w:r>
        <w:t>Team for Issue 1: Treasury and Cash Management Team (lead); Trading Desk (support for liquidity analysis and potential position adjustments).</w:t>
      </w:r>
    </w:p>
    <w:p>
      <w:r>
        <w:t>Team for Issue 2: Compliance and Risk Management (lead); Legal Department (for art transaction regulatory and contractual review).</w:t>
      </w:r>
    </w:p>
    <w:p>
      <w:r>
        <w:t>Team for Issue 3: Settlements and Operations Team (lead); Client Advisory / Relationship Manager (for direct client coordination and documentation follow-up).</w:t>
      </w:r>
    </w:p>
    <w:p>
      <w:pPr>
        <w:pStyle w:val="Heading2"/>
      </w:pPr>
      <w:r>
        <w:t>4. Risk Assessment</w:t>
      </w:r>
    </w:p>
    <w:p>
      <w:r>
        <w:t>Risk for Issue 1: High - Critical risk of payment default on the Murakami painting acquisition, potentially resulting in loss of the artwork, forfeiture of deposits, severe reputational damage to Goldman Sachs with a key UHNW client, and possible client asset migration or public relations exposure.</w:t>
      </w:r>
    </w:p>
    <w:p>
      <w:r>
        <w:t>Risk for Issue 2: High - Extended regulatory delays could breach client service level expectations for complex alternative asset transactions; risk of non-compliance findings if holds are not justified; potential for client dissatisfaction leading to reduced wallet share or termination of mandate.</w:t>
      </w:r>
    </w:p>
    <w:p>
      <w:r>
        <w:t>Risk for Issue 3: Medium - Delayed $2.2M inflow creates short-term funding gap that exacerbates liquidity pressure; documentation issues may indicate underlying client or counterparty problems, risking trade failure penalties, increased operational costs, and audit scrutiny.</w:t>
      </w:r>
    </w:p>
    <w:p>
      <w:pPr>
        <w:pStyle w:val="Heading2"/>
      </w:pPr>
      <w:r>
        <w:t>5. Mitigation Strategies</w:t>
      </w:r>
    </w:p>
    <w:p>
      <w:r>
        <w:t>Mitigation for Issue 1: Secure intra-day credit advance or firm bridge loan against verified holdings; redirect any available settled cash (post-TXN002) immediately to a dedicated painting escrow account; monitor real-time position valuations for additional collateral if required.</w:t>
      </w:r>
    </w:p>
    <w:p>
      <w:r>
        <w:t>Mitigation for Issue 2: Request conditional approval with time-bound waiver citing transaction urgency and low-risk profile of reputable Japanese art gallery; engage external art market specialist for independent risk assessment to support Compliance file.</w:t>
      </w:r>
    </w:p>
    <w:p>
      <w:r>
        <w:t>Mitigation for Issue 3: Facilitate expedited client authentication (e.g., video call + e-signature if permitted); upon doc receipt, manually expedite settlement workflow with back-office override to ensure funds credit within 24 hours, minimizing liquidity disruption.</w:t>
      </w:r>
    </w:p>
    <w:p>
      <w:pPr>
        <w:pStyle w:val="Heading2"/>
      </w:pPr>
      <w:r>
        <w:t>6. Follow-Up Actions</w:t>
      </w:r>
    </w:p>
    <w:p>
      <w:r>
        <w:t>Follow-Up for Issue 1: Conduct daily 8:00 AM liquidity review calls with Treasury until painting payment is confirmed wired and received; deliver written funding confirmation and updated account statement to client within 24 hours of each milestone.</w:t>
      </w:r>
    </w:p>
    <w:p>
      <w:r>
        <w:t>Follow-Up for Issue 2: Provide bi-daily compliance status updates to client and Relationship Manager; log all escalations and decisions in CRM for full audit trail; escalate to Firmwide Risk Committee automatically if any hold exceeds 48 hours.</w:t>
      </w:r>
    </w:p>
    <w:p>
      <w:r>
        <w:t>Follow-Up for Issue 3: Confirm documentation receipt within 4 business hours; target full settlement and account credit by close of business the following day; perform post-settlement reconciliation and notify client of available balance for painting transaction.</w:t>
      </w:r>
    </w:p>
    <w:p>
      <w:pPr>
        <w:pStyle w:val="Heading2"/>
      </w:pPr>
      <w:r>
        <w:t>7. Recommendations</w:t>
      </w:r>
    </w:p>
    <w:p>
      <w:r>
        <w:t>Recommendation for Future Improvements: Establish a specialized "Time-Sensitive Alternative Asset Transaction Protocol" for UHNW clients, incorporating automated liquidity forecasting 72 hours prior to large purchases, standardized art/collectibles documentation checklists, and dedicated fast-track lanes between Compliance, Treasury, Settlements, and Relationship Management. Integrate predictive alerts for pending transaction bottlenecks. Additionally, per guidance from Senior Vice President of PWM Operations (Elena Voss), all client communications and escalations have been documented in the CRM system; a post-resolution complimentary portfolio review has been scheduled to strengthen the client relationship and identify preventive measures for future complex acquisitions.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