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Goldman Sachs PWM Operations Virtual Experience</w:t>
      </w:r>
    </w:p>
    <w:p>
      <w:r>
        <w:rPr>
          <w:i/>
          <w:iCs/>
          <w:color w:val="666666"/>
          <w:sz w:val="20"/>
          <w:szCs w:val="20"/>
        </w:rPr>
        <w:t xml:space="preserve">Two-Part Program — Quick Summary &amp; Results</w:t>
      </w:r>
    </w:p>
    <w:p>
      <w:pPr>
        <w:pStyle w:val="Heading2"/>
      </w:pPr>
      <w:r>
        <w:t xml:space="preserve">Task 1 Highlights</w:t>
      </w:r>
    </w:p>
    <w:p>
      <w:r>
        <w:t xml:space="preserve">Completed full Personal Transaction Plan for $1,799 MacBook Pro purchase. Demonstrated budgeting ($6,035 income, $4,931.50 expenses), banking reconciliation (100% accuracy), process automation (Plaid + $420 savings), and reflective mapping to GS WM ops controls.</w:t>
      </w:r>
    </w:p>
    <w:p>
      <w:pPr>
        <w:pStyle w:val="Heading2"/>
      </w:pPr>
      <w:r>
        <w:t xml:space="preserve">Task 2 Highlights</w:t>
      </w:r>
    </w:p>
    <w:p>
      <w:r>
        <w:t xml:space="preserve">Analyzed 10 transactions for UHNW client's Murakami painting purchase. Produced executive Trade Fail Report with 3 prioritized issues, cross-team actions (Treasury/Compliance/Settlements), risk matrix, SLAs, senior guidance (Elena Voss, SVP), and new Alternative Asset Protocol recommendation.</w:t>
      </w:r>
    </w:p>
    <w:p>
      <w:pPr>
        <w:pStyle w:val="Heading2"/>
      </w:pPr>
      <w:r>
        <w:t xml:space="preserve">Key Outcomes</w:t>
      </w:r>
    </w:p>
    <w:p>
      <w:r>
        <w:t xml:space="preserve">• Task 1: Net budget position $1,635 | Zero discrepancies | 4 automated payments | GS-linked reflection</w:t>
      </w:r>
    </w:p>
    <w:p>
      <w:r>
        <w:t xml:space="preserve">• Task 2: 3 issues resolved with SLAs | High-risk deal protected | New protocol for future UHNW alternative asset transactions</w:t>
      </w:r>
    </w:p>
    <w:p>
      <w:pPr>
        <w:jc w:val="center"/>
      </w:pPr>
      <w:r>
        <w:rPr>
          <w:i/>
          <w:iCs/>
          <w:color w:val="999999"/>
          <w:sz w:val="16"/>
          <w:szCs w:val="16"/>
        </w:rPr>
        <w:t xml:space="preserve">Educational simulation only — April 2026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| Educational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666666"/>
        <w:sz w:val="16"/>
        <w:szCs w:val="16"/>
      </w:rPr>
      <w:t xml:space="preserve">GS PWM Operations Virtual Experience |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2026-04-29T21:45:11.882Z</dcterms:created>
  <dcterms:modified xsi:type="dcterms:W3CDTF">2026-04-29T21:45:11.883Z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