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Goldman Sachs Operations Virtual Experience</w:t>
      </w:r>
    </w:p>
    <w:p>
      <w:pPr>
        <w:spacing w:after="400"/>
        <w:jc w:val="center"/>
      </w:pPr>
      <w:r>
        <w:rPr>
          <w:i/>
          <w:iCs/>
          <w:color w:val="444444"/>
          <w:sz w:val="28"/>
          <w:szCs w:val="28"/>
        </w:rPr>
        <w:t xml:space="preserve">Two-Part Program Summary Report</w:t>
      </w:r>
    </w:p>
    <w:p>
      <w:pPr>
        <w:jc w:val="center"/>
      </w:pPr>
      <w:r>
        <w:rPr>
          <w:color w:val="666666"/>
          <w:sz w:val="20"/>
          <w:szCs w:val="20"/>
        </w:rPr>
        <w:t xml:space="preserve">Completed: April 2026</w:t>
      </w:r>
    </w:p>
    <w:p>
      <w:pPr>
        <w:pStyle w:val="Heading2"/>
      </w:pPr>
      <w:r>
        <w:t xml:space="preserve">Executive Summary</w:t>
      </w:r>
    </w:p>
    <w:p>
      <w:pPr>
        <w:spacing w:after="200"/>
      </w:pPr>
      <w:r>
        <w:t xml:space="preserve">This report documents the successful completion of the Goldman Sachs Operations Virtual Experience Program. The program consisted of two distinct modules designed to simulate the responsibilities of an Analyst within the Controllers Division and the Asset &amp; Wealth Management (AWM) division. Through hands-on exercises, key financial management, budgeting, valuation, and reporting skills were developed and demonstrated.</w:t>
      </w:r>
    </w:p>
    <w:p>
      <w:pPr>
        <w:pStyle w:val="Heading1"/>
      </w:pPr>
      <w:r>
        <w:t xml:space="preserve">Part 1: Controllers Division – Personal Financial Management</w:t>
      </w:r>
    </w:p>
    <w:p>
      <w:pPr>
        <w:pStyle w:val="Heading2"/>
      </w:pPr>
      <w:r>
        <w:t xml:space="preserve">Learning Objectives</w:t>
      </w:r>
    </w:p>
    <w:p>
      <w:pPr>
        <w:pStyle w:val="ListParagraph"/>
        <w:numPr>
          <w:ilvl w:val="0"/>
          <w:numId w:val="2"/>
        </w:numPr>
      </w:pPr>
      <w:r>
        <w:t xml:space="preserve">Understand the organizational structure and critical functions of the Controllers Division at Goldman Sachs</w:t>
      </w:r>
    </w:p>
    <w:p>
      <w:pPr>
        <w:pStyle w:val="ListParagraph"/>
        <w:numPr>
          <w:ilvl w:val="0"/>
          <w:numId w:val="2"/>
        </w:numPr>
      </w:pPr>
      <w:r>
        <w:t xml:space="preserve">Learn key regulatory frameworks, financial reporting standards, and compliance requirements</w:t>
      </w:r>
    </w:p>
    <w:p>
      <w:pPr>
        <w:pStyle w:val="ListParagraph"/>
        <w:numPr>
          <w:ilvl w:val="0"/>
          <w:numId w:val="2"/>
        </w:numPr>
      </w:pPr>
      <w:r>
        <w:t xml:space="preserve">Apply financial analyst skills (budgeting, variance analysis, resource allocation) to real-world personal scenarios</w:t>
      </w:r>
    </w:p>
    <w:p>
      <w:pPr>
        <w:pStyle w:val="Heading2"/>
      </w:pPr>
      <w:r>
        <w:t xml:space="preserve">Task Description</w:t>
      </w:r>
    </w:p>
    <w:p>
      <w:pPr>
        <w:spacing w:after="200"/>
      </w:pPr>
      <w:r>
        <w:t xml:space="preserve">The exercise required developing a comprehensive semester budget for a student, mirroring the financial oversight and planning performed daily by Controllers. This included identifying income sources, categorizing expenses, ensuring the budget balances (total income equals total expenses), and establishing a framework for ongoing tracking and adjustment—skills directly transferable to institutional financial management and regulatory reporting.</w:t>
      </w:r>
    </w:p>
    <w:p>
      <w:pPr>
        <w:pStyle w:val="Heading3"/>
      </w:pPr>
      <w:r>
        <w:t xml:space="preserve">Input File</w:t>
      </w:r>
    </w:p>
    <w:p>
      <w:pPr>
        <w:spacing w:after="120"/>
      </w:pPr>
      <w:r>
        <w:rPr>
          <w:b/>
          <w:bCs/>
        </w:rPr>
        <w:t xml:space="preserve">File: </w:t>
      </w:r>
      <w:r>
        <w:t xml:space="preserve">Task 1_Semester Budget.xlsx (located in task1/input/)</w:t>
      </w:r>
    </w:p>
    <w:p>
      <w:pPr>
        <w:spacing w:after="200"/>
      </w:pPr>
      <w:r>
        <w:t xml:space="preserve">A blank template containing standard student budget categories across Income (Salary/Wages, Parents/Guardians, Student Loans, Scholarships, Grants, Financial Aid, Savings Transfers, Other) and Expenses (Home &amp; School, Transportation, Daily Living, Entertainment, Health), with separate columns for Budget and Actuals to enable variance tracking.</w:t>
      </w:r>
    </w:p>
    <w:p>
      <w:pPr>
        <w:pStyle w:val="Heading3"/>
      </w:pPr>
      <w:r>
        <w:t xml:space="preserve">Output File &amp; Key Results</w:t>
      </w:r>
    </w:p>
    <w:p>
      <w:pPr>
        <w:spacing w:after="120"/>
      </w:pPr>
      <w:r>
        <w:rPr>
          <w:b/>
          <w:bCs/>
        </w:rPr>
        <w:t xml:space="preserve">File: </w:t>
      </w:r>
      <w:r>
        <w:t xml:space="preserve">My_Semester_Budget.xlsx (located in task1/output/)</w:t>
      </w:r>
    </w:p>
    <w:p>
      <w:pPr>
        <w:spacing w:after="120"/>
      </w:pPr>
      <w:r>
        <w:rPr>
          <w:b/>
          <w:bCs/>
          <w:color w:val="1F4E79"/>
        </w:rPr>
        <w:t xml:space="preserve">Total Balanced Budget: $15,450</w:t>
      </w:r>
    </w:p>
    <w:p>
      <w:pPr>
        <w:pStyle w:val="ListParagraph"/>
        <w:numPr>
          <w:ilvl w:val="0"/>
          <w:numId w:val="2"/>
        </w:numPr>
      </w:pPr>
      <w:r>
        <w:rPr>
          <w:b/>
          <w:bCs/>
        </w:rPr>
        <w:t xml:space="preserve">Income Sources: </w:t>
      </w:r>
      <w:r>
        <w:t xml:space="preserve">Part-time salary ($2,200), Parental support ($1,800), Student loans ($6,000), Scholarships ($2,800), Grants ($1,600), Financial aid ($600), Savings transfer ($150), Other ($300)</w:t>
      </w:r>
    </w:p>
    <w:p>
      <w:pPr>
        <w:pStyle w:val="ListParagraph"/>
        <w:numPr>
          <w:ilvl w:val="0"/>
          <w:numId w:val="2"/>
        </w:numPr>
      </w:pPr>
      <w:r>
        <w:rPr>
          <w:b/>
          <w:bCs/>
        </w:rPr>
        <w:t xml:space="preserve">Major Expense Categories: </w:t>
      </w:r>
      <w:r>
        <w:t xml:space="preserve">Home &amp; School ($12,490), Transportation ($650), Daily Living ($970), Entertainment ($460), Health ($880)</w:t>
      </w:r>
    </w:p>
    <w:p>
      <w:pPr>
        <w:pStyle w:val="ListParagraph"/>
        <w:numPr>
          <w:ilvl w:val="0"/>
          <w:numId w:val="2"/>
        </w:numPr>
      </w:pPr>
      <w:r>
        <w:rPr>
          <w:b/>
          <w:bCs/>
        </w:rPr>
        <w:t xml:space="preserve">Features Implemented: </w:t>
      </w:r>
      <w:r>
        <w:t xml:space="preserve">Dynamic SUM formulas for all subtotals and grand totals, blue-font input cells (financial modeling standard), currency formatting (#,##0), weekly tracking plan documented in spreadsheet notes, mid-semester review protocol</w:t>
      </w:r>
    </w:p>
    <w:p>
      <w:pPr>
        <w:spacing w:after="200"/>
      </w:pPr>
      <w:r>
        <w:rPr>
          <w:b/>
          <w:bCs/>
          <w:i/>
          <w:iCs/>
        </w:rPr>
        <w:t xml:space="preserve">Skills Demonstrated: </w:t>
      </w:r>
      <w:r>
        <w:t xml:space="preserve">Budget vs. actual variance analysis, formula-driven financial models, resource allocation planning, and compliance-style documentation—core competencies for Controllers Division analysts responsible for financial reporting accuracy and regulatory adherence.</w:t>
      </w:r>
    </w:p>
    <w:p>
      <w:pPr>
        <w:pStyle w:val="Heading1"/>
      </w:pPr>
      <w:r>
        <w:t xml:space="preserve">Part 2: Asset &amp; Wealth Management – Fund NAV Calculation</w:t>
      </w:r>
    </w:p>
    <w:p>
      <w:pPr>
        <w:pStyle w:val="Heading2"/>
      </w:pPr>
      <w:r>
        <w:t xml:space="preserve">Learning Objectives</w:t>
      </w:r>
    </w:p>
    <w:p>
      <w:pPr>
        <w:pStyle w:val="ListParagraph"/>
        <w:numPr>
          <w:ilvl w:val="0"/>
          <w:numId w:val="2"/>
        </w:numPr>
      </w:pPr>
      <w:r>
        <w:t xml:space="preserve">Develop analytical skills for precise Net Asset Value (NAV) calculations in fund accounting</w:t>
      </w:r>
    </w:p>
    <w:p>
      <w:pPr>
        <w:pStyle w:val="ListParagraph"/>
        <w:numPr>
          <w:ilvl w:val="0"/>
          <w:numId w:val="2"/>
        </w:numPr>
      </w:pPr>
      <w:r>
        <w:t xml:space="preserve">Understand the critical importance of valuation accuracy, data integrity, and compliance within AWM</w:t>
      </w:r>
    </w:p>
    <w:p>
      <w:pPr>
        <w:pStyle w:val="ListParagraph"/>
        <w:numPr>
          <w:ilvl w:val="0"/>
          <w:numId w:val="2"/>
        </w:numPr>
      </w:pPr>
      <w:r>
        <w:t xml:space="preserve">Master unitization methodology used for investor reporting and performance benchmarking</w:t>
      </w:r>
    </w:p>
    <w:p>
      <w:pPr>
        <w:pStyle w:val="Heading2"/>
      </w:pPr>
      <w:r>
        <w:t xml:space="preserve">Task Description</w:t>
      </w:r>
    </w:p>
    <w:p>
      <w:pPr>
        <w:spacing w:after="200"/>
      </w:pPr>
      <w:r>
        <w:t xml:space="preserve">The West Street Fund (a hypothetical AWM fund with Class A and Class C share classes) required full valuation processing. Starting from raw opening balances and quarter-to-date activity, History-to-Date totals were computed, amounts were unitized to a $10,000 benchmark commitment, and the fund-level NAV was derived. All calculations were implemented with dynamic Excel formulas to ensure auditability and reproducibility—reflecting real AWM fund accounting workflows.</w:t>
      </w:r>
    </w:p>
    <w:p>
      <w:pPr>
        <w:pStyle w:val="Heading3"/>
      </w:pPr>
      <w:r>
        <w:t xml:space="preserve">Input File</w:t>
      </w:r>
    </w:p>
    <w:p>
      <w:pPr>
        <w:spacing w:after="120"/>
      </w:pPr>
      <w:r>
        <w:rPr>
          <w:b/>
          <w:bCs/>
        </w:rPr>
        <w:t xml:space="preserve">File: </w:t>
      </w:r>
      <w:r>
        <w:t xml:space="preserve">West Street Fund Data (11.7).xlsx (located in task2/input/)</w:t>
      </w:r>
    </w:p>
    <w:p>
      <w:pPr>
        <w:spacing w:after="200"/>
      </w:pPr>
      <w:r>
        <w:t xml:space="preserve">Raw data table containing Opening Balance and Quarter-to-Date columns for Contributions, Distributions, Management Fees Paid, and Net Income across Class A (100,000 shares outstanding) and Class C (100,000 shares outstanding). Several cells were intentionally blank (e.g., Class A Management Fees) to test data handling and formula robustness.</w:t>
      </w:r>
    </w:p>
    <w:p>
      <w:pPr>
        <w:pStyle w:val="Heading3"/>
      </w:pPr>
      <w:r>
        <w:t xml:space="preserve">Output File &amp; Key Results</w:t>
      </w:r>
    </w:p>
    <w:p>
      <w:pPr>
        <w:spacing w:after="120"/>
      </w:pPr>
      <w:r>
        <w:rPr>
          <w:b/>
          <w:bCs/>
        </w:rPr>
        <w:t xml:space="preserve">File: </w:t>
      </w:r>
      <w:r>
        <w:t xml:space="preserve">West_Street_Fund_Data_Completed.xlsx (located in task2/output/)</w:t>
      </w:r>
    </w:p>
    <w:p>
      <w:pPr>
        <w:spacing w:after="120"/>
      </w:pPr>
      <w:r>
        <w:rPr>
          <w:b/>
          <w:bCs/>
          <w:color w:val="1F4E79"/>
        </w:rPr>
        <w:t xml:space="preserve">24 Dynamic Formulas | Zero Errors | Fully Reproducible</w:t>
      </w:r>
    </w:p>
    <w:p>
      <w:pPr>
        <w:spacing w:after="80" w:before="160"/>
      </w:pPr>
      <w:r>
        <w:rPr>
          <w:b/>
          <w:bCs/>
        </w:rPr>
        <w:t xml:space="preserve">Final NAV Summary (Per $10,000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Class A</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Class C</w:t>
            </w:r>
          </w:p>
        </w:tc>
      </w:tr>
      <w:tr>
        <w:tc>
          <w:tcPr>
            <w:tcW w:type="dxa" w:w="3120"/>
            <w:tcBorders>
              <w:top w:val="single" w:color="CCCCCC" w:sz="1"/>
              <w:left w:val="single" w:color="CCCCCC" w:sz="1"/>
              <w:bottom w:val="single" w:color="CCCCCC" w:sz="1"/>
              <w:right w:val="single" w:color="CCCCCC" w:sz="1"/>
            </w:tcBorders>
          </w:tcPr>
          <w:p>
            <w:r>
              <w:t xml:space="preserve">Total Assets (Per Unit)</w:t>
            </w:r>
          </w:p>
        </w:tc>
        <w:tc>
          <w:tcPr>
            <w:tcW w:type="dxa" w:w="3120"/>
            <w:tcBorders>
              <w:top w:val="single" w:color="CCCCCC" w:sz="1"/>
              <w:left w:val="single" w:color="CCCCCC" w:sz="1"/>
              <w:bottom w:val="single" w:color="CCCCCC" w:sz="1"/>
              <w:right w:val="single" w:color="CCCCCC" w:sz="1"/>
            </w:tcBorders>
          </w:tcPr>
          <w:p>
            <w:pPr>
              <w:jc w:val="right"/>
            </w:pPr>
            <w:r>
              <w:t xml:space="preserve">$14,170</w:t>
            </w:r>
          </w:p>
        </w:tc>
        <w:tc>
          <w:tcPr>
            <w:tcW w:type="dxa" w:w="3120"/>
            <w:tcBorders>
              <w:top w:val="single" w:color="CCCCCC" w:sz="1"/>
              <w:left w:val="single" w:color="CCCCCC" w:sz="1"/>
              <w:bottom w:val="single" w:color="CCCCCC" w:sz="1"/>
              <w:right w:val="single" w:color="CCCCCC" w:sz="1"/>
            </w:tcBorders>
          </w:tcPr>
          <w:p>
            <w:pPr>
              <w:jc w:val="right"/>
            </w:pPr>
            <w:r>
              <w:t xml:space="preserve">$13,337</w:t>
            </w:r>
          </w:p>
        </w:tc>
      </w:tr>
      <w:tr>
        <w:tc>
          <w:tcPr>
            <w:tcW w:type="dxa" w:w="3120"/>
            <w:tcBorders>
              <w:top w:val="single" w:color="CCCCCC" w:sz="1"/>
              <w:left w:val="single" w:color="CCCCCC" w:sz="1"/>
              <w:bottom w:val="single" w:color="CCCCCC" w:sz="1"/>
              <w:right w:val="single" w:color="CCCCCC" w:sz="1"/>
            </w:tcBorders>
          </w:tcPr>
          <w:p>
            <w:r>
              <w:t xml:space="preserve">Total Liabilities (Per Unit)</w:t>
            </w:r>
          </w:p>
        </w:tc>
        <w:tc>
          <w:tcPr>
            <w:tcW w:type="dxa" w:w="3120"/>
            <w:tcBorders>
              <w:top w:val="single" w:color="CCCCCC" w:sz="1"/>
              <w:left w:val="single" w:color="CCCCCC" w:sz="1"/>
              <w:bottom w:val="single" w:color="CCCCCC" w:sz="1"/>
              <w:right w:val="single" w:color="CCCCCC" w:sz="1"/>
            </w:tcBorders>
          </w:tcPr>
          <w:p>
            <w:pPr>
              <w:jc w:val="right"/>
            </w:pPr>
            <w:r>
              <w:t xml:space="preserve">$2,049</w:t>
            </w:r>
          </w:p>
        </w:tc>
        <w:tc>
          <w:tcPr>
            <w:tcW w:type="dxa" w:w="3120"/>
            <w:tcBorders>
              <w:top w:val="single" w:color="CCCCCC" w:sz="1"/>
              <w:left w:val="single" w:color="CCCCCC" w:sz="1"/>
              <w:bottom w:val="single" w:color="CCCCCC" w:sz="1"/>
              <w:right w:val="single" w:color="CCCCCC" w:sz="1"/>
            </w:tcBorders>
          </w:tcPr>
          <w:p>
            <w:pPr>
              <w:jc w:val="right"/>
            </w:pPr>
            <w:r>
              <w:t xml:space="preserve">$1,868</w:t>
            </w:r>
          </w:p>
        </w:tc>
      </w:tr>
      <w:tr>
        <w:tc>
          <w:tcPr>
            <w:tcW w:type="dxa" w:w="3120"/>
            <w:tcBorders>
              <w:top w:val="single" w:color="CCCCCC" w:sz="1"/>
              <w:left w:val="single" w:color="CCCCCC" w:sz="1"/>
              <w:bottom w:val="single" w:color="CCCCCC" w:sz="1"/>
              <w:right w:val="single" w:color="CCCCCC" w:sz="1"/>
            </w:tcBorders>
            <w:shd w:fill="E2EFDA" w:val="clear"/>
          </w:tcPr>
          <w:p>
            <w:r>
              <w:rPr>
                <w:b/>
                <w:bCs/>
              </w:rPr>
              <w:t xml:space="preserve">Net Asset Value (NAV)</w:t>
            </w:r>
          </w:p>
        </w:tc>
        <w:tc>
          <w:tcPr>
            <w:tcW w:type="dxa" w:w="3120"/>
            <w:tcBorders>
              <w:top w:val="single" w:color="CCCCCC" w:sz="1"/>
              <w:left w:val="single" w:color="CCCCCC" w:sz="1"/>
              <w:bottom w:val="single" w:color="CCCCCC" w:sz="1"/>
              <w:right w:val="single" w:color="CCCCCC" w:sz="1"/>
            </w:tcBorders>
            <w:shd w:fill="E2EFDA" w:val="clear"/>
          </w:tcPr>
          <w:p>
            <w:pPr>
              <w:jc w:val="right"/>
            </w:pPr>
            <w:r>
              <w:rPr>
                <w:b/>
                <w:bCs/>
                <w:color w:val="375623"/>
              </w:rPr>
              <w:t xml:space="preserve">$12,121</w:t>
            </w:r>
          </w:p>
        </w:tc>
        <w:tc>
          <w:tcPr>
            <w:tcW w:type="dxa" w:w="3120"/>
            <w:tcBorders>
              <w:top w:val="single" w:color="CCCCCC" w:sz="1"/>
              <w:left w:val="single" w:color="CCCCCC" w:sz="1"/>
              <w:bottom w:val="single" w:color="CCCCCC" w:sz="1"/>
              <w:right w:val="single" w:color="CCCCCC" w:sz="1"/>
            </w:tcBorders>
            <w:shd w:fill="E2EFDA" w:val="clear"/>
          </w:tcPr>
          <w:p>
            <w:pPr>
              <w:jc w:val="right"/>
            </w:pPr>
            <w:r>
              <w:rPr>
                <w:b/>
                <w:bCs/>
                <w:color w:val="375623"/>
              </w:rPr>
              <w:t xml:space="preserve">$11,469</w:t>
            </w:r>
          </w:p>
        </w:tc>
      </w:tr>
    </w:tbl>
    <w:p>
      <w:pPr>
        <w:spacing w:after="120" w:before="200"/>
      </w:pPr>
      <w:r>
        <w:rPr>
          <w:b/>
          <w:bCs/>
        </w:rPr>
        <w:t xml:space="preserve">Methodology Applied:</w:t>
      </w:r>
    </w:p>
    <w:p>
      <w:pPr>
        <w:pStyle w:val="ListParagraph"/>
        <w:numPr>
          <w:ilvl w:val="0"/>
          <w:numId w:val="3"/>
        </w:numPr>
      </w:pPr>
      <w:r>
        <w:rPr>
          <w:b/>
          <w:bCs/>
        </w:rPr>
        <w:t xml:space="preserve">History-to-Date = Opening Balance + Quarter-to-Date</w:t>
      </w:r>
      <w:r>
        <w:t xml:space="preserve"> (e.g., Contributions Class A: 91,000 + 500 = 91,500)</w:t>
      </w:r>
    </w:p>
    <w:p>
      <w:pPr>
        <w:pStyle w:val="ListParagraph"/>
        <w:numPr>
          <w:ilvl w:val="0"/>
          <w:numId w:val="3"/>
        </w:numPr>
      </w:pPr>
      <w:r>
        <w:rPr>
          <w:b/>
          <w:bCs/>
        </w:rPr>
        <w:t xml:space="preserve">Unitized Value = History-to-Date ÷ 100,000 shares × $10,000</w:t>
      </w:r>
      <w:r>
        <w:t xml:space="preserve"> (standard $10k investor benchmark)</w:t>
      </w:r>
    </w:p>
    <w:p>
      <w:pPr>
        <w:pStyle w:val="ListParagraph"/>
        <w:numPr>
          <w:ilvl w:val="0"/>
          <w:numId w:val="3"/>
        </w:numPr>
      </w:pPr>
      <w:r>
        <w:rPr>
          <w:b/>
          <w:bCs/>
        </w:rPr>
        <w:t xml:space="preserve">Total Assets (Per Unit) = Contributions Unitized + Net Income Unitized</w:t>
      </w:r>
    </w:p>
    <w:p>
      <w:pPr>
        <w:pStyle w:val="ListParagraph"/>
        <w:numPr>
          <w:ilvl w:val="0"/>
          <w:numId w:val="3"/>
        </w:numPr>
      </w:pPr>
      <w:r>
        <w:rPr>
          <w:b/>
          <w:bCs/>
        </w:rPr>
        <w:t xml:space="preserve">Total Liabilities (Per Unit) = Distributions Unitized − Management Fees Unitized</w:t>
      </w:r>
    </w:p>
    <w:p>
      <w:pPr>
        <w:pStyle w:val="ListParagraph"/>
        <w:numPr>
          <w:ilvl w:val="0"/>
          <w:numId w:val="3"/>
        </w:numPr>
      </w:pPr>
      <w:r>
        <w:rPr>
          <w:b/>
          <w:bCs/>
        </w:rPr>
        <w:t xml:space="preserve">NAV (Per Unit) = Total Assets − Total Liabilities</w:t>
      </w:r>
    </w:p>
    <w:p>
      <w:pPr>
        <w:spacing w:after="200" w:before="200"/>
      </w:pPr>
      <w:r>
        <w:rPr>
          <w:b/>
          <w:bCs/>
          <w:i/>
          <w:iCs/>
        </w:rPr>
        <w:t xml:space="preserve">Skills Demonstrated: </w:t>
      </w:r>
      <w:r>
        <w:t xml:space="preserve">Fund accounting, NAV computation, unitization for investor transparency, formula-based modeling with full audit trail, data integrity validation, and regulatory-style financial reporting—essential for AWM analysts ensuring accurate client valuations and compliance with SEC/GAAP standards.</w:t>
      </w:r>
    </w:p>
    <w:p>
      <w:pPr>
        <w:pStyle w:val="Heading1"/>
      </w:pPr>
      <w:r>
        <w:t xml:space="preserve">Conclusion &amp; Transferable Skills</w:t>
      </w:r>
    </w:p>
    <w:p>
      <w:pPr>
        <w:spacing w:after="200"/>
      </w:pPr>
      <w:r>
        <w:t xml:space="preserve">Completion of both modules demonstrates readiness for analyst-level responsibilities at Goldman Sachs. The Controllers exercise highlighted the importance of disciplined budgeting, variance monitoring, and documentation—foundational to regulatory compliance and internal controls. The AWM NAV exercise showcased precision in valuation, formula-driven transparency, and the ability to transform raw transactional data into investor-ready metrics. Together, these experiences underscore Goldman Sachs' emphasis on analytical rigor, accuracy, and client-centric financial stewardship.</w:t>
      </w:r>
    </w:p>
    <w:p>
      <w:pPr>
        <w:spacing w:before="300"/>
        <w:jc w:val="center"/>
      </w:pPr>
      <w:r>
        <w:rPr>
          <w:i/>
          <w:iCs/>
          <w:color w:val="666666"/>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Confidential – Educational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Goldman Sachs | Operations Virtual Experience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2026-04-29T22:07:56.298Z</dcterms:created>
  <dcterms:modified xsi:type="dcterms:W3CDTF">2026-04-29T22:07:56.298Z</dcterms:modified>
</cp:coreProperties>
</file>

<file path=docProps/custom.xml><?xml version="1.0" encoding="utf-8"?>
<Properties xmlns="http://schemas.openxmlformats.org/officeDocument/2006/custom-properties" xmlns:vt="http://schemas.openxmlformats.org/officeDocument/2006/docPropsVTypes"/>
</file>