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F1A2" w14:textId="77777777" w:rsidR="00365781" w:rsidRPr="00365781" w:rsidRDefault="00365781" w:rsidP="00365781">
      <w:pPr>
        <w:pStyle w:val="Heading1"/>
      </w:pPr>
      <w:r w:rsidRPr="00365781">
        <w:t>Individual credit risk</w:t>
      </w:r>
    </w:p>
    <w:p w14:paraId="4FED87DA" w14:textId="77777777" w:rsidR="00365781" w:rsidRPr="00365781" w:rsidRDefault="00365781" w:rsidP="00365781">
      <w:r w:rsidRPr="00365781">
        <w:t>Credit risk assessment is a vital component in the financial sector, particularly at Goldman Sachs. It involves evaluating the likelihood of a borrower defaulting on a loan. This assessment is based on various factors, including credit history, repayment capacity, financial stability, and income sources. Goldman Sachs uses sophisticated models and analytical tools to assess credit risk, ensuring sound investment decisions and minimizing potential losses.</w:t>
      </w:r>
    </w:p>
    <w:p w14:paraId="66819248" w14:textId="77777777" w:rsidR="00365781" w:rsidRPr="00365781" w:rsidRDefault="00365781" w:rsidP="00365781">
      <w:r w:rsidRPr="00365781">
        <w:t>This task simulates the process of credit risk assessment in a simplified form. While Goldman Sachs uses complex algorithms and detailed analyses, this activity provides a foundational understanding by using a basic risk calculator. You'll assess the credit risk of different fictional personas, mirroring the kind of work done in real-world finance, albeit in a more accessible way.</w:t>
      </w:r>
    </w:p>
    <w:p w14:paraId="13D5B711" w14:textId="77777777" w:rsidR="00365781" w:rsidRPr="00365781" w:rsidRDefault="00365781" w:rsidP="00365781">
      <w:r w:rsidRPr="00365781">
        <w:rPr>
          <w:b/>
          <w:bCs/>
        </w:rPr>
        <w:t>Instructions</w:t>
      </w:r>
      <w:r w:rsidRPr="00365781">
        <w:t>:</w:t>
      </w:r>
    </w:p>
    <w:p w14:paraId="08DCB1AA" w14:textId="77777777" w:rsidR="00365781" w:rsidRPr="00365781" w:rsidRDefault="00365781" w:rsidP="00365781">
      <w:pPr>
        <w:numPr>
          <w:ilvl w:val="0"/>
          <w:numId w:val="1"/>
        </w:numPr>
      </w:pPr>
      <w:r w:rsidRPr="00365781">
        <w:t>Review each fictional persona's financial profile.</w:t>
      </w:r>
    </w:p>
    <w:p w14:paraId="159879DD" w14:textId="77777777" w:rsidR="00365781" w:rsidRPr="00365781" w:rsidRDefault="00365781" w:rsidP="00365781">
      <w:pPr>
        <w:numPr>
          <w:ilvl w:val="0"/>
          <w:numId w:val="1"/>
        </w:numPr>
      </w:pPr>
      <w:r w:rsidRPr="00365781">
        <w:t>Download the risk calculator and input their details.</w:t>
      </w:r>
    </w:p>
    <w:p w14:paraId="1587C21E" w14:textId="77777777" w:rsidR="00365781" w:rsidRPr="00365781" w:rsidRDefault="00365781" w:rsidP="00365781">
      <w:pPr>
        <w:numPr>
          <w:ilvl w:val="0"/>
          <w:numId w:val="1"/>
        </w:numPr>
      </w:pPr>
      <w:r w:rsidRPr="00365781">
        <w:t>Note the risk level assigned to each persona.</w:t>
      </w:r>
    </w:p>
    <w:p w14:paraId="142EC088" w14:textId="77777777" w:rsidR="00365781" w:rsidRPr="00365781" w:rsidRDefault="00365781" w:rsidP="00365781">
      <w:r w:rsidRPr="00365781">
        <w:t>As you use the risk calculator, play with the values for each persona. Adjusting different inputs, such as changes in credit score, income, or debt amounts, will show you how these factors affect someone's risk level.</w:t>
      </w:r>
    </w:p>
    <w:p w14:paraId="609CEDC2" w14:textId="77777777" w:rsidR="00365781" w:rsidRPr="00365781" w:rsidRDefault="00365781" w:rsidP="00365781">
      <w:r w:rsidRPr="00365781">
        <w:t>Based on your findings, you will answer a series of short-response and multiple-choice questions to reinforce your understanding of assessing credit risk, allowing you to apply and reflect on the knowledge you've gained.</w:t>
      </w: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68"/>
        <w:gridCol w:w="2036"/>
        <w:gridCol w:w="2036"/>
        <w:gridCol w:w="2054"/>
        <w:gridCol w:w="1916"/>
      </w:tblGrid>
      <w:tr w:rsidR="00365781" w:rsidRPr="00365781" w14:paraId="5BBAF5DF" w14:textId="77777777" w:rsidTr="00365781">
        <w:trPr>
          <w:tblHeader/>
        </w:trPr>
        <w:tc>
          <w:tcPr>
            <w:tcW w:w="457" w:type="pct"/>
            <w:tcBorders>
              <w:top w:val="single" w:sz="6" w:space="0" w:color="DDDDDD"/>
              <w:left w:val="single" w:sz="6" w:space="0" w:color="DDDDDD"/>
              <w:bottom w:val="single" w:sz="6" w:space="0" w:color="DDDDDD"/>
              <w:right w:val="single" w:sz="6" w:space="0" w:color="DDDDDD"/>
            </w:tcBorders>
            <w:shd w:val="clear" w:color="auto" w:fill="F7F7F7"/>
            <w:vAlign w:val="center"/>
            <w:hideMark/>
          </w:tcPr>
          <w:p w14:paraId="7F5A08D5" w14:textId="77777777" w:rsidR="00365781" w:rsidRPr="00365781" w:rsidRDefault="00365781" w:rsidP="00365781">
            <w:pPr>
              <w:rPr>
                <w:b/>
                <w:bCs/>
              </w:rPr>
            </w:pPr>
            <w:r w:rsidRPr="00365781">
              <w:rPr>
                <w:b/>
                <w:bCs/>
              </w:rPr>
              <w:t>Risk Attribute</w:t>
            </w:r>
          </w:p>
        </w:tc>
        <w:tc>
          <w:tcPr>
            <w:tcW w:w="1150" w:type="pct"/>
            <w:tcBorders>
              <w:top w:val="single" w:sz="6" w:space="0" w:color="DDDDDD"/>
              <w:left w:val="single" w:sz="6" w:space="0" w:color="DDDDDD"/>
              <w:bottom w:val="single" w:sz="6" w:space="0" w:color="DDDDDD"/>
              <w:right w:val="single" w:sz="6" w:space="0" w:color="DDDDDD"/>
            </w:tcBorders>
            <w:shd w:val="clear" w:color="auto" w:fill="F7F7F7"/>
            <w:vAlign w:val="center"/>
            <w:hideMark/>
          </w:tcPr>
          <w:p w14:paraId="3C11E005" w14:textId="77777777" w:rsidR="00365781" w:rsidRPr="00365781" w:rsidRDefault="00365781" w:rsidP="00365781">
            <w:pPr>
              <w:rPr>
                <w:b/>
                <w:bCs/>
              </w:rPr>
            </w:pPr>
            <w:r w:rsidRPr="00365781">
              <w:rPr>
                <w:b/>
                <w:bCs/>
              </w:rPr>
              <w:t>Persona 1</w:t>
            </w:r>
          </w:p>
        </w:tc>
        <w:tc>
          <w:tcPr>
            <w:tcW w:w="1150" w:type="pct"/>
            <w:tcBorders>
              <w:top w:val="single" w:sz="6" w:space="0" w:color="DDDDDD"/>
              <w:left w:val="single" w:sz="6" w:space="0" w:color="DDDDDD"/>
              <w:bottom w:val="single" w:sz="6" w:space="0" w:color="DDDDDD"/>
              <w:right w:val="single" w:sz="6" w:space="0" w:color="DDDDDD"/>
            </w:tcBorders>
            <w:shd w:val="clear" w:color="auto" w:fill="F7F7F7"/>
            <w:vAlign w:val="center"/>
            <w:hideMark/>
          </w:tcPr>
          <w:p w14:paraId="14CBF769" w14:textId="77777777" w:rsidR="00365781" w:rsidRPr="00365781" w:rsidRDefault="00365781" w:rsidP="00365781">
            <w:pPr>
              <w:rPr>
                <w:b/>
                <w:bCs/>
              </w:rPr>
            </w:pPr>
            <w:r w:rsidRPr="00365781">
              <w:rPr>
                <w:b/>
                <w:bCs/>
              </w:rPr>
              <w:t>Persona 2</w:t>
            </w:r>
          </w:p>
        </w:tc>
        <w:tc>
          <w:tcPr>
            <w:tcW w:w="1160" w:type="pct"/>
            <w:tcBorders>
              <w:top w:val="single" w:sz="6" w:space="0" w:color="DDDDDD"/>
              <w:left w:val="single" w:sz="6" w:space="0" w:color="DDDDDD"/>
              <w:bottom w:val="single" w:sz="6" w:space="0" w:color="DDDDDD"/>
              <w:right w:val="single" w:sz="6" w:space="0" w:color="DDDDDD"/>
            </w:tcBorders>
            <w:shd w:val="clear" w:color="auto" w:fill="F7F7F7"/>
            <w:vAlign w:val="center"/>
            <w:hideMark/>
          </w:tcPr>
          <w:p w14:paraId="6FDF3795" w14:textId="77777777" w:rsidR="00365781" w:rsidRPr="00365781" w:rsidRDefault="00365781" w:rsidP="00365781">
            <w:pPr>
              <w:rPr>
                <w:b/>
                <w:bCs/>
              </w:rPr>
            </w:pPr>
            <w:r w:rsidRPr="00365781">
              <w:rPr>
                <w:b/>
                <w:bCs/>
              </w:rPr>
              <w:t>Persona 3</w:t>
            </w:r>
          </w:p>
        </w:tc>
        <w:tc>
          <w:tcPr>
            <w:tcW w:w="1083" w:type="pct"/>
            <w:tcBorders>
              <w:top w:val="single" w:sz="6" w:space="0" w:color="DDDDDD"/>
              <w:left w:val="single" w:sz="6" w:space="0" w:color="DDDDDD"/>
              <w:bottom w:val="single" w:sz="6" w:space="0" w:color="DDDDDD"/>
              <w:right w:val="single" w:sz="6" w:space="0" w:color="DDDDDD"/>
            </w:tcBorders>
            <w:shd w:val="clear" w:color="auto" w:fill="F7F7F7"/>
            <w:vAlign w:val="center"/>
            <w:hideMark/>
          </w:tcPr>
          <w:p w14:paraId="6164310F" w14:textId="77777777" w:rsidR="00365781" w:rsidRPr="00365781" w:rsidRDefault="00365781" w:rsidP="00365781">
            <w:pPr>
              <w:rPr>
                <w:b/>
                <w:bCs/>
              </w:rPr>
            </w:pPr>
            <w:r w:rsidRPr="00365781">
              <w:rPr>
                <w:b/>
                <w:bCs/>
              </w:rPr>
              <w:t>Persona 4</w:t>
            </w:r>
          </w:p>
        </w:tc>
      </w:tr>
      <w:tr w:rsidR="00365781" w:rsidRPr="00365781" w14:paraId="197DC5C0" w14:textId="77777777" w:rsidTr="00365781">
        <w:tc>
          <w:tcPr>
            <w:tcW w:w="457" w:type="pct"/>
            <w:tcBorders>
              <w:top w:val="single" w:sz="6" w:space="0" w:color="DDDDDD"/>
              <w:left w:val="single" w:sz="6" w:space="0" w:color="DDDDDD"/>
              <w:bottom w:val="single" w:sz="6" w:space="0" w:color="DDDDDD"/>
              <w:right w:val="single" w:sz="6" w:space="0" w:color="DDDDDD"/>
            </w:tcBorders>
            <w:vAlign w:val="center"/>
            <w:hideMark/>
          </w:tcPr>
          <w:p w14:paraId="2E775BA8" w14:textId="77777777" w:rsidR="00365781" w:rsidRPr="00365781" w:rsidRDefault="00365781" w:rsidP="00365781">
            <w:r w:rsidRPr="00365781">
              <w:t>Annual Income</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3404083C" w14:textId="77777777" w:rsidR="00365781" w:rsidRPr="00365781" w:rsidRDefault="00365781" w:rsidP="00365781">
            <w:r w:rsidRPr="00365781">
              <w:t>$280,000 </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19BCB539" w14:textId="77777777" w:rsidR="00365781" w:rsidRPr="00365781" w:rsidRDefault="00365781" w:rsidP="00365781">
            <w:r w:rsidRPr="00365781">
              <w:t>$180,000 </w:t>
            </w:r>
          </w:p>
        </w:tc>
        <w:tc>
          <w:tcPr>
            <w:tcW w:w="1160" w:type="pct"/>
            <w:tcBorders>
              <w:top w:val="single" w:sz="6" w:space="0" w:color="DDDDDD"/>
              <w:left w:val="single" w:sz="6" w:space="0" w:color="DDDDDD"/>
              <w:bottom w:val="single" w:sz="6" w:space="0" w:color="DDDDDD"/>
              <w:right w:val="single" w:sz="6" w:space="0" w:color="DDDDDD"/>
            </w:tcBorders>
            <w:vAlign w:val="center"/>
            <w:hideMark/>
          </w:tcPr>
          <w:p w14:paraId="778113DC" w14:textId="77777777" w:rsidR="00365781" w:rsidRPr="00365781" w:rsidRDefault="00365781" w:rsidP="00365781">
            <w:r w:rsidRPr="00365781">
              <w:t>$100,000 </w:t>
            </w:r>
          </w:p>
        </w:tc>
        <w:tc>
          <w:tcPr>
            <w:tcW w:w="1083" w:type="pct"/>
            <w:tcBorders>
              <w:top w:val="single" w:sz="6" w:space="0" w:color="DDDDDD"/>
              <w:left w:val="single" w:sz="6" w:space="0" w:color="DDDDDD"/>
              <w:bottom w:val="single" w:sz="6" w:space="0" w:color="DDDDDD"/>
              <w:right w:val="single" w:sz="6" w:space="0" w:color="DDDDDD"/>
            </w:tcBorders>
            <w:vAlign w:val="center"/>
            <w:hideMark/>
          </w:tcPr>
          <w:p w14:paraId="2DE3DC0E" w14:textId="77777777" w:rsidR="00365781" w:rsidRPr="00365781" w:rsidRDefault="00365781" w:rsidP="00365781">
            <w:r w:rsidRPr="00365781">
              <w:t>$150,00</w:t>
            </w:r>
          </w:p>
        </w:tc>
      </w:tr>
      <w:tr w:rsidR="00365781" w:rsidRPr="00365781" w14:paraId="102329A5" w14:textId="77777777" w:rsidTr="00365781">
        <w:tc>
          <w:tcPr>
            <w:tcW w:w="457" w:type="pct"/>
            <w:tcBorders>
              <w:top w:val="single" w:sz="6" w:space="0" w:color="DDDDDD"/>
              <w:left w:val="single" w:sz="6" w:space="0" w:color="DDDDDD"/>
              <w:bottom w:val="single" w:sz="6" w:space="0" w:color="DDDDDD"/>
              <w:right w:val="single" w:sz="6" w:space="0" w:color="DDDDDD"/>
            </w:tcBorders>
            <w:vAlign w:val="center"/>
            <w:hideMark/>
          </w:tcPr>
          <w:p w14:paraId="0918273A" w14:textId="77777777" w:rsidR="00365781" w:rsidRPr="00365781" w:rsidRDefault="00365781" w:rsidP="00365781">
            <w:r w:rsidRPr="00365781">
              <w:t>Credit Score</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7EA592B1" w14:textId="77777777" w:rsidR="00365781" w:rsidRPr="00365781" w:rsidRDefault="00365781" w:rsidP="00365781">
            <w:r w:rsidRPr="00365781">
              <w:t>760</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30F97A1A" w14:textId="77777777" w:rsidR="00365781" w:rsidRPr="00365781" w:rsidRDefault="00365781" w:rsidP="00365781">
            <w:r w:rsidRPr="00365781">
              <w:t>700</w:t>
            </w:r>
          </w:p>
        </w:tc>
        <w:tc>
          <w:tcPr>
            <w:tcW w:w="1160" w:type="pct"/>
            <w:tcBorders>
              <w:top w:val="single" w:sz="6" w:space="0" w:color="DDDDDD"/>
              <w:left w:val="single" w:sz="6" w:space="0" w:color="DDDDDD"/>
              <w:bottom w:val="single" w:sz="6" w:space="0" w:color="DDDDDD"/>
              <w:right w:val="single" w:sz="6" w:space="0" w:color="DDDDDD"/>
            </w:tcBorders>
            <w:vAlign w:val="center"/>
            <w:hideMark/>
          </w:tcPr>
          <w:p w14:paraId="6DCDFD33" w14:textId="77777777" w:rsidR="00365781" w:rsidRPr="00365781" w:rsidRDefault="00365781" w:rsidP="00365781">
            <w:r w:rsidRPr="00365781">
              <w:t>660</w:t>
            </w:r>
          </w:p>
        </w:tc>
        <w:tc>
          <w:tcPr>
            <w:tcW w:w="1083" w:type="pct"/>
            <w:tcBorders>
              <w:top w:val="single" w:sz="6" w:space="0" w:color="DDDDDD"/>
              <w:left w:val="single" w:sz="6" w:space="0" w:color="DDDDDD"/>
              <w:bottom w:val="single" w:sz="6" w:space="0" w:color="DDDDDD"/>
              <w:right w:val="single" w:sz="6" w:space="0" w:color="DDDDDD"/>
            </w:tcBorders>
            <w:vAlign w:val="center"/>
            <w:hideMark/>
          </w:tcPr>
          <w:p w14:paraId="127791DB" w14:textId="77777777" w:rsidR="00365781" w:rsidRPr="00365781" w:rsidRDefault="00365781" w:rsidP="00365781">
            <w:r w:rsidRPr="00365781">
              <w:t>720</w:t>
            </w:r>
          </w:p>
        </w:tc>
      </w:tr>
      <w:tr w:rsidR="00365781" w:rsidRPr="00365781" w14:paraId="298329D4" w14:textId="77777777" w:rsidTr="00365781">
        <w:tc>
          <w:tcPr>
            <w:tcW w:w="457" w:type="pct"/>
            <w:tcBorders>
              <w:top w:val="single" w:sz="6" w:space="0" w:color="DDDDDD"/>
              <w:left w:val="single" w:sz="6" w:space="0" w:color="DDDDDD"/>
              <w:bottom w:val="single" w:sz="6" w:space="0" w:color="DDDDDD"/>
              <w:right w:val="single" w:sz="6" w:space="0" w:color="DDDDDD"/>
            </w:tcBorders>
            <w:vAlign w:val="center"/>
            <w:hideMark/>
          </w:tcPr>
          <w:p w14:paraId="3001636D" w14:textId="77777777" w:rsidR="00365781" w:rsidRPr="00365781" w:rsidRDefault="00365781" w:rsidP="00365781">
            <w:r w:rsidRPr="00365781">
              <w:t>Debt</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40502730" w14:textId="77777777" w:rsidR="00365781" w:rsidRPr="00365781" w:rsidRDefault="00365781" w:rsidP="00365781">
            <w:r w:rsidRPr="00365781">
              <w:t>$150,000 </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5DFC2711" w14:textId="77777777" w:rsidR="00365781" w:rsidRPr="00365781" w:rsidRDefault="00365781" w:rsidP="00365781">
            <w:r w:rsidRPr="00365781">
              <w:t>$100,000 </w:t>
            </w:r>
          </w:p>
        </w:tc>
        <w:tc>
          <w:tcPr>
            <w:tcW w:w="1160" w:type="pct"/>
            <w:tcBorders>
              <w:top w:val="single" w:sz="6" w:space="0" w:color="DDDDDD"/>
              <w:left w:val="single" w:sz="6" w:space="0" w:color="DDDDDD"/>
              <w:bottom w:val="single" w:sz="6" w:space="0" w:color="DDDDDD"/>
              <w:right w:val="single" w:sz="6" w:space="0" w:color="DDDDDD"/>
            </w:tcBorders>
            <w:vAlign w:val="center"/>
            <w:hideMark/>
          </w:tcPr>
          <w:p w14:paraId="2D738DB8" w14:textId="77777777" w:rsidR="00365781" w:rsidRPr="00365781" w:rsidRDefault="00365781" w:rsidP="00365781">
            <w:r w:rsidRPr="00365781">
              <w:t>$90,000 </w:t>
            </w:r>
          </w:p>
        </w:tc>
        <w:tc>
          <w:tcPr>
            <w:tcW w:w="1083" w:type="pct"/>
            <w:tcBorders>
              <w:top w:val="single" w:sz="6" w:space="0" w:color="DDDDDD"/>
              <w:left w:val="single" w:sz="6" w:space="0" w:color="DDDDDD"/>
              <w:bottom w:val="single" w:sz="6" w:space="0" w:color="DDDDDD"/>
              <w:right w:val="single" w:sz="6" w:space="0" w:color="DDDDDD"/>
            </w:tcBorders>
            <w:vAlign w:val="center"/>
            <w:hideMark/>
          </w:tcPr>
          <w:p w14:paraId="45109DD1" w14:textId="77777777" w:rsidR="00365781" w:rsidRPr="00365781" w:rsidRDefault="00365781" w:rsidP="00365781">
            <w:r w:rsidRPr="00365781">
              <w:t>$200,000</w:t>
            </w:r>
          </w:p>
        </w:tc>
      </w:tr>
      <w:tr w:rsidR="00365781" w:rsidRPr="00365781" w14:paraId="3C83B8B5" w14:textId="77777777" w:rsidTr="00365781">
        <w:tc>
          <w:tcPr>
            <w:tcW w:w="457" w:type="pct"/>
            <w:tcBorders>
              <w:top w:val="single" w:sz="6" w:space="0" w:color="DDDDDD"/>
              <w:left w:val="single" w:sz="6" w:space="0" w:color="DDDDDD"/>
              <w:bottom w:val="single" w:sz="6" w:space="0" w:color="DDDDDD"/>
              <w:right w:val="single" w:sz="6" w:space="0" w:color="DDDDDD"/>
            </w:tcBorders>
            <w:vAlign w:val="center"/>
            <w:hideMark/>
          </w:tcPr>
          <w:p w14:paraId="27E867C2" w14:textId="77777777" w:rsidR="00365781" w:rsidRPr="00365781" w:rsidRDefault="00365781" w:rsidP="00365781">
            <w:r w:rsidRPr="00365781">
              <w:t>Savings</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19E14ABB" w14:textId="77777777" w:rsidR="00365781" w:rsidRPr="00365781" w:rsidRDefault="00365781" w:rsidP="00365781">
            <w:r w:rsidRPr="00365781">
              <w:t>$450,000 </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72FCA5D2" w14:textId="77777777" w:rsidR="00365781" w:rsidRPr="00365781" w:rsidRDefault="00365781" w:rsidP="00365781">
            <w:r w:rsidRPr="00365781">
              <w:t>$120,000 </w:t>
            </w:r>
          </w:p>
        </w:tc>
        <w:tc>
          <w:tcPr>
            <w:tcW w:w="1160" w:type="pct"/>
            <w:tcBorders>
              <w:top w:val="single" w:sz="6" w:space="0" w:color="DDDDDD"/>
              <w:left w:val="single" w:sz="6" w:space="0" w:color="DDDDDD"/>
              <w:bottom w:val="single" w:sz="6" w:space="0" w:color="DDDDDD"/>
              <w:right w:val="single" w:sz="6" w:space="0" w:color="DDDDDD"/>
            </w:tcBorders>
            <w:vAlign w:val="center"/>
            <w:hideMark/>
          </w:tcPr>
          <w:p w14:paraId="61726AD7" w14:textId="77777777" w:rsidR="00365781" w:rsidRPr="00365781" w:rsidRDefault="00365781" w:rsidP="00365781">
            <w:r w:rsidRPr="00365781">
              <w:t>$20,000 </w:t>
            </w:r>
          </w:p>
        </w:tc>
        <w:tc>
          <w:tcPr>
            <w:tcW w:w="1083" w:type="pct"/>
            <w:tcBorders>
              <w:top w:val="single" w:sz="6" w:space="0" w:color="DDDDDD"/>
              <w:left w:val="single" w:sz="6" w:space="0" w:color="DDDDDD"/>
              <w:bottom w:val="single" w:sz="6" w:space="0" w:color="DDDDDD"/>
              <w:right w:val="single" w:sz="6" w:space="0" w:color="DDDDDD"/>
            </w:tcBorders>
            <w:vAlign w:val="center"/>
            <w:hideMark/>
          </w:tcPr>
          <w:p w14:paraId="7D799630" w14:textId="77777777" w:rsidR="00365781" w:rsidRPr="00365781" w:rsidRDefault="00365781" w:rsidP="00365781">
            <w:r w:rsidRPr="00365781">
              <w:t>$80,000</w:t>
            </w:r>
          </w:p>
        </w:tc>
      </w:tr>
      <w:tr w:rsidR="00365781" w:rsidRPr="00365781" w14:paraId="1EADABD8" w14:textId="77777777" w:rsidTr="00365781">
        <w:tc>
          <w:tcPr>
            <w:tcW w:w="457" w:type="pct"/>
            <w:tcBorders>
              <w:top w:val="single" w:sz="6" w:space="0" w:color="DDDDDD"/>
              <w:left w:val="single" w:sz="6" w:space="0" w:color="DDDDDD"/>
              <w:bottom w:val="single" w:sz="6" w:space="0" w:color="DDDDDD"/>
              <w:right w:val="single" w:sz="6" w:space="0" w:color="DDDDDD"/>
            </w:tcBorders>
            <w:vAlign w:val="center"/>
            <w:hideMark/>
          </w:tcPr>
          <w:p w14:paraId="2451C89B" w14:textId="77777777" w:rsidR="00365781" w:rsidRPr="00365781" w:rsidRDefault="00365781" w:rsidP="00365781">
            <w:r w:rsidRPr="00365781">
              <w:t>Late Payments</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70899568" w14:textId="77777777" w:rsidR="00365781" w:rsidRPr="00365781" w:rsidRDefault="00365781" w:rsidP="00365781">
            <w:r w:rsidRPr="00365781">
              <w:t>0</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6935B256" w14:textId="77777777" w:rsidR="00365781" w:rsidRPr="00365781" w:rsidRDefault="00365781" w:rsidP="00365781">
            <w:r w:rsidRPr="00365781">
              <w:t>1</w:t>
            </w:r>
          </w:p>
        </w:tc>
        <w:tc>
          <w:tcPr>
            <w:tcW w:w="1160" w:type="pct"/>
            <w:tcBorders>
              <w:top w:val="single" w:sz="6" w:space="0" w:color="DDDDDD"/>
              <w:left w:val="single" w:sz="6" w:space="0" w:color="DDDDDD"/>
              <w:bottom w:val="single" w:sz="6" w:space="0" w:color="DDDDDD"/>
              <w:right w:val="single" w:sz="6" w:space="0" w:color="DDDDDD"/>
            </w:tcBorders>
            <w:vAlign w:val="center"/>
            <w:hideMark/>
          </w:tcPr>
          <w:p w14:paraId="4C077B50" w14:textId="77777777" w:rsidR="00365781" w:rsidRPr="00365781" w:rsidRDefault="00365781" w:rsidP="00365781">
            <w:r w:rsidRPr="00365781">
              <w:t>2</w:t>
            </w:r>
          </w:p>
        </w:tc>
        <w:tc>
          <w:tcPr>
            <w:tcW w:w="1083" w:type="pct"/>
            <w:tcBorders>
              <w:top w:val="single" w:sz="6" w:space="0" w:color="DDDDDD"/>
              <w:left w:val="single" w:sz="6" w:space="0" w:color="DDDDDD"/>
              <w:bottom w:val="single" w:sz="6" w:space="0" w:color="DDDDDD"/>
              <w:right w:val="single" w:sz="6" w:space="0" w:color="DDDDDD"/>
            </w:tcBorders>
            <w:vAlign w:val="center"/>
            <w:hideMark/>
          </w:tcPr>
          <w:p w14:paraId="56127F62" w14:textId="77777777" w:rsidR="00365781" w:rsidRPr="00365781" w:rsidRDefault="00365781" w:rsidP="00365781">
            <w:r w:rsidRPr="00365781">
              <w:t>1</w:t>
            </w:r>
          </w:p>
        </w:tc>
      </w:tr>
      <w:tr w:rsidR="00365781" w:rsidRPr="00365781" w14:paraId="10F68DEB" w14:textId="77777777" w:rsidTr="00365781">
        <w:tc>
          <w:tcPr>
            <w:tcW w:w="457" w:type="pct"/>
            <w:tcBorders>
              <w:top w:val="single" w:sz="6" w:space="0" w:color="DDDDDD"/>
              <w:left w:val="single" w:sz="6" w:space="0" w:color="DDDDDD"/>
              <w:bottom w:val="single" w:sz="6" w:space="0" w:color="DDDDDD"/>
              <w:right w:val="single" w:sz="6" w:space="0" w:color="DDDDDD"/>
            </w:tcBorders>
            <w:vAlign w:val="center"/>
            <w:hideMark/>
          </w:tcPr>
          <w:p w14:paraId="07A63DC3" w14:textId="77777777" w:rsidR="00365781" w:rsidRPr="00365781" w:rsidRDefault="00365781" w:rsidP="00365781">
            <w:r w:rsidRPr="00365781">
              <w:t>Notes</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0F9C0F79" w14:textId="77777777" w:rsidR="00365781" w:rsidRPr="00365781" w:rsidRDefault="00365781" w:rsidP="00365781">
            <w:r w:rsidRPr="00365781">
              <w:t xml:space="preserve">A seasoned entrepreneur is looking to diversify their investment portfolio. They're interested in </w:t>
            </w:r>
            <w:r w:rsidRPr="00365781">
              <w:lastRenderedPageBreak/>
              <w:t>sustainable and ethical investment opportunities and want advice on balancing their portfolio for long-term growth. Their recent venture success has boosted their savings, and they're seeking Goldman Sachs' expertise to manage their increased wealth.</w:t>
            </w:r>
          </w:p>
        </w:tc>
        <w:tc>
          <w:tcPr>
            <w:tcW w:w="1150" w:type="pct"/>
            <w:tcBorders>
              <w:top w:val="single" w:sz="6" w:space="0" w:color="DDDDDD"/>
              <w:left w:val="single" w:sz="6" w:space="0" w:color="DDDDDD"/>
              <w:bottom w:val="single" w:sz="6" w:space="0" w:color="DDDDDD"/>
              <w:right w:val="single" w:sz="6" w:space="0" w:color="DDDDDD"/>
            </w:tcBorders>
            <w:vAlign w:val="center"/>
            <w:hideMark/>
          </w:tcPr>
          <w:p w14:paraId="710A602F" w14:textId="77777777" w:rsidR="00365781" w:rsidRPr="00365781" w:rsidRDefault="00365781" w:rsidP="00365781">
            <w:r w:rsidRPr="00365781">
              <w:lastRenderedPageBreak/>
              <w:t xml:space="preserve">A mid-career professional is planning for a major life transition. They're considering buying a new home </w:t>
            </w:r>
            <w:r w:rsidRPr="00365781">
              <w:lastRenderedPageBreak/>
              <w:t>and need advice on mortgage options and managing existing debts. They're also looking into setting up a college fund for their children and are seeking Goldman Sachs' services for financial planning and debt management.</w:t>
            </w:r>
          </w:p>
        </w:tc>
        <w:tc>
          <w:tcPr>
            <w:tcW w:w="1160" w:type="pct"/>
            <w:tcBorders>
              <w:top w:val="single" w:sz="6" w:space="0" w:color="DDDDDD"/>
              <w:left w:val="single" w:sz="6" w:space="0" w:color="DDDDDD"/>
              <w:bottom w:val="single" w:sz="6" w:space="0" w:color="DDDDDD"/>
              <w:right w:val="single" w:sz="6" w:space="0" w:color="DDDDDD"/>
            </w:tcBorders>
            <w:vAlign w:val="center"/>
            <w:hideMark/>
          </w:tcPr>
          <w:p w14:paraId="3618D300" w14:textId="77777777" w:rsidR="00365781" w:rsidRPr="00365781" w:rsidRDefault="00365781" w:rsidP="00365781">
            <w:r w:rsidRPr="00365781">
              <w:lastRenderedPageBreak/>
              <w:t xml:space="preserve">A high-earning IT consultant has faced some financial hiccups and is looking to consolidate their </w:t>
            </w:r>
            <w:r w:rsidRPr="00365781">
              <w:lastRenderedPageBreak/>
              <w:t>debts. They're also interested in exploring investment strategies to grow their savings and recover from recent financial missteps. They're approaching Goldman Sachs for their expertise in debt consolidation and for guidance on making smarter investment choices.</w:t>
            </w:r>
          </w:p>
        </w:tc>
        <w:tc>
          <w:tcPr>
            <w:tcW w:w="1083" w:type="pct"/>
            <w:tcBorders>
              <w:top w:val="single" w:sz="6" w:space="0" w:color="DDDDDD"/>
              <w:left w:val="single" w:sz="6" w:space="0" w:color="DDDDDD"/>
              <w:bottom w:val="single" w:sz="6" w:space="0" w:color="DDDDDD"/>
              <w:right w:val="single" w:sz="6" w:space="0" w:color="DDDDDD"/>
            </w:tcBorders>
            <w:vAlign w:val="center"/>
            <w:hideMark/>
          </w:tcPr>
          <w:p w14:paraId="71637E70" w14:textId="77777777" w:rsidR="00365781" w:rsidRPr="00365781" w:rsidRDefault="00365781" w:rsidP="00365781">
            <w:r w:rsidRPr="00365781">
              <w:lastRenderedPageBreak/>
              <w:t xml:space="preserve">A successful small business owner with a fluctuating income due to the seasonal nature of their business. They </w:t>
            </w:r>
            <w:r w:rsidRPr="00365781">
              <w:lastRenderedPageBreak/>
              <w:t>have significant debt from a recent expansion but have maintained a good credit score. They are looking for advice on managing cash flow, reducing debt, and planning for future business investments.</w:t>
            </w:r>
          </w:p>
        </w:tc>
      </w:tr>
    </w:tbl>
    <w:p w14:paraId="5DAF3454" w14:textId="77777777" w:rsidR="00365781" w:rsidRPr="00365781" w:rsidRDefault="00365781" w:rsidP="00365781">
      <w:r w:rsidRPr="00365781">
        <w:rPr>
          <w:i/>
          <w:iCs/>
        </w:rPr>
        <w:lastRenderedPageBreak/>
        <w:t>Note: The risk calculations you're working with for this activity are simplified and meant to provide a glimpse into the type of analytical work done by analysts at Goldman Sachs. They do not precisely reflect the complex and multifaceted methods Goldman Sachs uses in actual risk assessments.</w:t>
      </w:r>
    </w:p>
    <w:p w14:paraId="470A570E" w14:textId="77777777" w:rsidR="00C17BB5" w:rsidRDefault="00C17BB5"/>
    <w:sectPr w:rsidR="00C17BB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252D"/>
    <w:multiLevelType w:val="multilevel"/>
    <w:tmpl w:val="B374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0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781"/>
    <w:rsid w:val="00241F27"/>
    <w:rsid w:val="00365781"/>
    <w:rsid w:val="009F0335"/>
    <w:rsid w:val="00C17BB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F944"/>
  <w15:chartTrackingRefBased/>
  <w15:docId w15:val="{50CE698B-0770-4D87-997F-ACAD43FB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781"/>
    <w:rPr>
      <w:rFonts w:eastAsiaTheme="majorEastAsia" w:cstheme="majorBidi"/>
      <w:color w:val="272727" w:themeColor="text1" w:themeTint="D8"/>
    </w:rPr>
  </w:style>
  <w:style w:type="paragraph" w:styleId="Title">
    <w:name w:val="Title"/>
    <w:basedOn w:val="Normal"/>
    <w:next w:val="Normal"/>
    <w:link w:val="TitleChar"/>
    <w:uiPriority w:val="10"/>
    <w:qFormat/>
    <w:rsid w:val="00365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781"/>
    <w:pPr>
      <w:spacing w:before="160"/>
      <w:jc w:val="center"/>
    </w:pPr>
    <w:rPr>
      <w:i/>
      <w:iCs/>
      <w:color w:val="404040" w:themeColor="text1" w:themeTint="BF"/>
    </w:rPr>
  </w:style>
  <w:style w:type="character" w:customStyle="1" w:styleId="QuoteChar">
    <w:name w:val="Quote Char"/>
    <w:basedOn w:val="DefaultParagraphFont"/>
    <w:link w:val="Quote"/>
    <w:uiPriority w:val="29"/>
    <w:rsid w:val="00365781"/>
    <w:rPr>
      <w:i/>
      <w:iCs/>
      <w:color w:val="404040" w:themeColor="text1" w:themeTint="BF"/>
    </w:rPr>
  </w:style>
  <w:style w:type="paragraph" w:styleId="ListParagraph">
    <w:name w:val="List Paragraph"/>
    <w:basedOn w:val="Normal"/>
    <w:uiPriority w:val="34"/>
    <w:qFormat/>
    <w:rsid w:val="00365781"/>
    <w:pPr>
      <w:ind w:left="720"/>
      <w:contextualSpacing/>
    </w:pPr>
  </w:style>
  <w:style w:type="character" w:styleId="IntenseEmphasis">
    <w:name w:val="Intense Emphasis"/>
    <w:basedOn w:val="DefaultParagraphFont"/>
    <w:uiPriority w:val="21"/>
    <w:qFormat/>
    <w:rsid w:val="00365781"/>
    <w:rPr>
      <w:i/>
      <w:iCs/>
      <w:color w:val="0F4761" w:themeColor="accent1" w:themeShade="BF"/>
    </w:rPr>
  </w:style>
  <w:style w:type="paragraph" w:styleId="IntenseQuote">
    <w:name w:val="Intense Quote"/>
    <w:basedOn w:val="Normal"/>
    <w:next w:val="Normal"/>
    <w:link w:val="IntenseQuoteChar"/>
    <w:uiPriority w:val="30"/>
    <w:qFormat/>
    <w:rsid w:val="00365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781"/>
    <w:rPr>
      <w:i/>
      <w:iCs/>
      <w:color w:val="0F4761" w:themeColor="accent1" w:themeShade="BF"/>
    </w:rPr>
  </w:style>
  <w:style w:type="character" w:styleId="IntenseReference">
    <w:name w:val="Intense Reference"/>
    <w:basedOn w:val="DefaultParagraphFont"/>
    <w:uiPriority w:val="32"/>
    <w:qFormat/>
    <w:rsid w:val="00365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Soumyakanta Bera</dc:creator>
  <cp:keywords/>
  <dc:description/>
  <cp:lastModifiedBy>Soumyakanta Bera</cp:lastModifiedBy>
  <cp:revision>1</cp:revision>
  <dcterms:created xsi:type="dcterms:W3CDTF">2026-04-29T22:23:00Z</dcterms:created>
  <dcterms:modified xsi:type="dcterms:W3CDTF">2026-04-29T22:23:00Z</dcterms:modified>
</cp:coreProperties>
</file>