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Task 2: Individual Credit Risk Analysis Report</w:t>
      </w:r>
    </w:p>
    <w:p>
      <w:r>
        <w:rPr>
          <w:i/>
          <w:iCs/>
          <w:color w:val="666666"/>
        </w:rPr>
        <w:t xml:space="preserve">Prepared for Goldman Sachs Risk Virtual Experience | April 2026</w:t>
      </w:r>
    </w:p>
    <w:p>
      <w:pPr>
        <w:pStyle w:val="Heading2"/>
      </w:pPr>
      <w:r>
        <w:t xml:space="preserve">Executive Summary</w:t>
      </w:r>
    </w:p>
    <w:p>
      <w:r>
        <w:t xml:space="preserve">Credit risk assessment is a cornerstone of sound financial decision-making at Goldman Sachs. This report evaluates four fictional personas using a simplified weighted risk model (Credit Score 25%, Savings 25%, Annual Income 20%, Debt 20%, Late Payments 10%). The analysis demonstrates how quantitative factors and qualitative context combine to determine default probability and guide client advisory strategies.</w:t>
      </w:r>
    </w:p>
    <w:p>
      <w:pPr>
        <w:pStyle w:val="Heading2"/>
      </w:pPr>
      <w:r>
        <w:t xml:space="preserve">Persona 1 — Low to Moderate Risk</w:t>
      </w:r>
    </w:p>
    <w:p>
      <w:r>
        <w:rPr>
          <w:b/>
          <w:bCs/>
        </w:rPr>
        <w:t xml:space="preserve">Profile: </w:t>
      </w:r>
      <w:r>
        <w:t xml:space="preserve">Seasoned entrepreneur, $280,000 annual income, 760 credit score, $450,000 savings, $150,000 debt, 0 late payments.</w:t>
      </w:r>
    </w:p>
    <w:p>
      <w:r>
        <w:rPr>
          <w:b/>
          <w:bCs/>
        </w:rPr>
        <w:t xml:space="preserve">Analysis: </w:t>
      </w:r>
      <w:r>
        <w:t xml:space="preserve">Strongest profile in the cohort. High credit score and substantial savings-to-debt ratio (3:1) provide significant buffers. The calculator's heavy weighting on credit score and savings places this persona in the lowest risk category. Recent venture success has further strengthened their financial position.</w:t>
      </w:r>
    </w:p>
    <w:p>
      <w:r>
        <w:rPr>
          <w:b/>
          <w:bCs/>
        </w:rPr>
        <w:t xml:space="preserve">GS Recommendation: </w:t>
      </w:r>
      <w:r>
        <w:t xml:space="preserve">Ideal candidate for portfolio diversification into sustainable/ethical investments. Low default risk supports aggressive long-term growth strategies.</w:t>
      </w:r>
    </w:p>
    <w:p>
      <w:pPr>
        <w:pStyle w:val="Heading2"/>
      </w:pPr>
      <w:r>
        <w:t xml:space="preserve">Persona 2 — Moderate Risk</w:t>
      </w:r>
    </w:p>
    <w:p>
      <w:r>
        <w:rPr>
          <w:b/>
          <w:bCs/>
        </w:rPr>
        <w:t xml:space="preserve">Profile: </w:t>
      </w:r>
      <w:r>
        <w:t xml:space="preserve">Mid-career professional, $180,000 income, 700 credit score, $120,000 savings, $100,000 debt, 1 late payment.</w:t>
      </w:r>
    </w:p>
    <w:p>
      <w:r>
        <w:rPr>
          <w:b/>
          <w:bCs/>
        </w:rPr>
        <w:t xml:space="preserve">Analysis: </w:t>
      </w:r>
      <w:r>
        <w:t xml:space="preserve">Solid income and savings provide stability, but the single late payment introduces a moderate penalty under the model. Debt level is manageable relative to income, yet the late payment flag signals potential cash flow timing issues.</w:t>
      </w:r>
    </w:p>
    <w:p>
      <w:r>
        <w:rPr>
          <w:b/>
          <w:bCs/>
        </w:rPr>
        <w:t xml:space="preserve">GS Recommendation: </w:t>
      </w:r>
      <w:r>
        <w:t xml:space="preserve">Suitable for mortgage products with counseling on debt consolidation and automated payment setup to eliminate future late payments. Strong candidate for college savings planning.</w:t>
      </w:r>
    </w:p>
    <w:p>
      <w:pPr>
        <w:pStyle w:val="Heading2"/>
      </w:pPr>
      <w:r>
        <w:t xml:space="preserve">Persona 3 — High Risk</w:t>
      </w:r>
    </w:p>
    <w:p>
      <w:r>
        <w:rPr>
          <w:b/>
          <w:bCs/>
        </w:rPr>
        <w:t xml:space="preserve">Profile: </w:t>
      </w:r>
      <w:r>
        <w:t xml:space="preserve">IT consultant, $100,000 income, 660 credit score, $20,000 savings, $90,000 debt, 2 late payments.</w:t>
      </w:r>
    </w:p>
    <w:p>
      <w:r>
        <w:rPr>
          <w:b/>
          <w:bCs/>
        </w:rPr>
        <w:t xml:space="preserve">Analysis: </w:t>
      </w:r>
      <w:r>
        <w:t xml:space="preserve">Highest risk profile. Low income combined with minimal savings ($20k vs $90k debt) and multiple late payments heavily penalizes the score. The model shows this persona is most vulnerable to default. Recent financial missteps have created a fragile position.</w:t>
      </w:r>
    </w:p>
    <w:p>
      <w:r>
        <w:rPr>
          <w:b/>
          <w:bCs/>
        </w:rPr>
        <w:t xml:space="preserve">GS Recommendation: </w:t>
      </w:r>
      <w:r>
        <w:t xml:space="preserve">Requires immediate debt restructuring and credit repair plan before any new lending. Focus on building emergency savings buffer. High-touch monitoring recommended if any facility is extended.</w:t>
      </w:r>
    </w:p>
    <w:p>
      <w:pPr>
        <w:pStyle w:val="Heading2"/>
      </w:pPr>
      <w:r>
        <w:t xml:space="preserve">Persona 4 — Moderate to High Risk</w:t>
      </w:r>
    </w:p>
    <w:p>
      <w:r>
        <w:rPr>
          <w:b/>
          <w:bCs/>
        </w:rPr>
        <w:t xml:space="preserve">Profile: </w:t>
      </w:r>
      <w:r>
        <w:t xml:space="preserve">Small business owner, $150,000 income, 720 credit score, $80,000 savings, $200,000 debt, 1 late payment.</w:t>
      </w:r>
    </w:p>
    <w:p>
      <w:r>
        <w:rPr>
          <w:b/>
          <w:bCs/>
        </w:rPr>
        <w:t xml:space="preserve">Analysis: </w:t>
      </w:r>
      <w:r>
        <w:t xml:space="preserve">Good credit score but severely imbalanced debt-to-savings ratio (2.5:1). Seasonal income fluctuations add model risk. The single late payment combined with high leverage pushes this profile into elevated risk territory.</w:t>
      </w:r>
    </w:p>
    <w:p>
      <w:r>
        <w:rPr>
          <w:b/>
          <w:bCs/>
        </w:rPr>
        <w:t xml:space="preserve">GS Recommendation: </w:t>
      </w:r>
      <w:r>
        <w:t xml:space="preserve">Cash flow management tools and seasonal line of credit with strict covenants. Debt reduction plan essential before expansion financing. Monitor closely for covenant breaches.</w:t>
      </w:r>
    </w:p>
    <w:p>
      <w:pPr>
        <w:pStyle w:val="Heading2"/>
      </w:pPr>
      <w:r>
        <w:t xml:space="preserve">Key Model Insights</w:t>
      </w:r>
    </w:p>
    <w:p>
      <w:r>
        <w:t xml:space="preserve">• Savings (25%) and Credit Score (25%) are the most influential factors — small improvements here move profiles across risk bands faster than income or debt changes.</w:t>
      </w:r>
    </w:p>
    <w:p>
      <w:r>
        <w:t xml:space="preserve">• Late Payments (10%) act as a powerful penalty; even one instance can shift a borderline profile from Moderate to High.</w:t>
      </w:r>
    </w:p>
    <w:p>
      <w:r>
        <w:t xml:space="preserve">• Debt-to-Savings ratio is a critical qualitative overlay the model highlights — Persona 4's 2.5:1 leverage is unsustainable despite decent income.</w:t>
      </w:r>
    </w:p>
    <w:p>
      <w:r>
        <w:t xml:space="preserve">• The simplified calculator demonstrates the same principle used in Goldman Sachs' sophisticated models: quantitative scores must be interpreted with qualitative context (business model, life stage, recent events).</w:t>
      </w:r>
    </w:p>
    <w:p>
      <w:pPr>
        <w:pStyle w:val="Heading2"/>
      </w:pPr>
      <w:r>
        <w:t xml:space="preserve">Conclusion</w:t>
      </w:r>
    </w:p>
    <w:p>
      <w:r>
        <w:t xml:space="preserve">This exercise illustrates how Goldman Sachs analysts blend data-driven scoring with holistic client understanding to protect the firm while serving clients responsibly. The personas show that risk is dynamic — proactive advice on savings, payment discipline, and leverage can materially improve outcomes for both the client and the institution.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i/>
        <w:iCs/>
        <w:color w:val="666666"/>
        <w:sz w:val="16"/>
        <w:szCs w:val="16"/>
      </w:rPr>
      <w:t xml:space="preserve">Goldman Sachs Risk Virtual Experience | Task 2: Credit Risk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2026-04-29T22:27:55.386Z</dcterms:created>
  <dcterms:modified xsi:type="dcterms:W3CDTF">2026-04-29T22:27:55.386Z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