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82FFB7" w14:textId="77777777" w:rsidR="00184E6B" w:rsidRPr="00A616ED" w:rsidRDefault="00184E6B" w:rsidP="00184E6B">
      <w:pPr>
        <w:spacing w:before="100" w:beforeAutospacing="1" w:after="100" w:afterAutospacing="1"/>
        <w:rPr>
          <w:rFonts w:ascii="Arial" w:hAnsi="Arial" w:cs="Arial"/>
          <w:sz w:val="20"/>
          <w:szCs w:val="20"/>
        </w:rPr>
      </w:pPr>
      <w:r>
        <w:rPr>
          <w:rFonts w:ascii="Arial" w:hAnsi="Arial" w:cs="Arial"/>
          <w:sz w:val="20"/>
          <w:szCs w:val="20"/>
        </w:rPr>
        <w:t>Evaluate and summarize the resources provided to identify</w:t>
      </w:r>
      <w:r w:rsidRPr="00A616ED">
        <w:rPr>
          <w:rFonts w:ascii="Arial" w:hAnsi="Arial" w:cs="Arial"/>
          <w:sz w:val="20"/>
          <w:szCs w:val="20"/>
        </w:rPr>
        <w:t xml:space="preserve"> </w:t>
      </w:r>
      <w:r>
        <w:rPr>
          <w:rFonts w:ascii="Arial" w:hAnsi="Arial" w:cs="Arial"/>
          <w:sz w:val="20"/>
          <w:szCs w:val="20"/>
        </w:rPr>
        <w:t>leading practices and potential solutions for the client.</w:t>
      </w:r>
    </w:p>
    <w:p w14:paraId="1C99081E" w14:textId="77777777" w:rsidR="00184E6B" w:rsidRPr="00A616ED" w:rsidRDefault="00184E6B" w:rsidP="00184E6B">
      <w:pPr>
        <w:spacing w:before="100" w:beforeAutospacing="1" w:after="100" w:afterAutospacing="1"/>
        <w:rPr>
          <w:rFonts w:ascii="Arial" w:hAnsi="Arial" w:cs="Arial"/>
          <w:sz w:val="20"/>
          <w:szCs w:val="20"/>
        </w:rPr>
      </w:pPr>
      <w:r w:rsidRPr="00A616ED">
        <w:rPr>
          <w:rFonts w:ascii="Arial" w:hAnsi="Arial" w:cs="Arial"/>
          <w:b/>
          <w:bCs/>
          <w:sz w:val="20"/>
          <w:szCs w:val="20"/>
        </w:rPr>
        <w:t>Remember:</w:t>
      </w:r>
      <w:r w:rsidRPr="00A616ED">
        <w:rPr>
          <w:rFonts w:ascii="Arial" w:hAnsi="Arial" w:cs="Arial"/>
          <w:sz w:val="20"/>
          <w:szCs w:val="20"/>
        </w:rPr>
        <w:t xml:space="preserve"> </w:t>
      </w:r>
      <w:r>
        <w:rPr>
          <w:rFonts w:ascii="Arial" w:hAnsi="Arial" w:cs="Arial"/>
          <w:sz w:val="20"/>
          <w:szCs w:val="20"/>
        </w:rPr>
        <w:t>Gen</w:t>
      </w:r>
      <w:r w:rsidRPr="00A616ED">
        <w:rPr>
          <w:rFonts w:ascii="Arial" w:hAnsi="Arial" w:cs="Arial"/>
          <w:sz w:val="20"/>
          <w:szCs w:val="20"/>
        </w:rPr>
        <w:t xml:space="preserve">AI can assist by summarizing complex sections, clarifying concepts, and highlighting actionable strategies. Use it to support </w:t>
      </w:r>
      <w:r>
        <w:rPr>
          <w:rFonts w:ascii="Arial" w:hAnsi="Arial" w:cs="Arial"/>
          <w:sz w:val="20"/>
          <w:szCs w:val="20"/>
        </w:rPr>
        <w:t xml:space="preserve">(not replace) </w:t>
      </w:r>
      <w:r w:rsidRPr="00A616ED">
        <w:rPr>
          <w:rFonts w:ascii="Arial" w:hAnsi="Arial" w:cs="Arial"/>
          <w:sz w:val="20"/>
          <w:szCs w:val="20"/>
        </w:rPr>
        <w:t>your judgment and critical thinking.</w:t>
      </w:r>
    </w:p>
    <w:p w14:paraId="1B062142" w14:textId="562B0659" w:rsidR="00184E6B" w:rsidRPr="00A616ED" w:rsidRDefault="00000000" w:rsidP="00184E6B">
      <w:pPr>
        <w:rPr>
          <w:rFonts w:ascii="Arial" w:hAnsi="Arial" w:cs="Arial"/>
          <w:b/>
          <w:bCs/>
          <w:noProof/>
          <w:sz w:val="20"/>
          <w:szCs w:val="20"/>
        </w:rPr>
      </w:pPr>
      <w:r>
        <w:rPr>
          <w:rFonts w:ascii="Arial" w:hAnsi="Arial" w:cs="Arial"/>
          <w:b/>
          <w:bCs/>
          <w:noProof/>
          <w:sz w:val="20"/>
          <w:szCs w:val="20"/>
        </w:rPr>
        <w:pict w14:anchorId="04771539">
          <v:rect id="_x0000_i1025" alt="" style="width:468pt;height:.05pt;mso-width-percent:0;mso-height-percent:0;mso-width-percent:0;mso-height-percent:0" o:hralign="center" o:hrstd="t" o:hr="t" fillcolor="#a0a0a0" stroked="f"/>
        </w:pict>
      </w:r>
      <w:r w:rsidR="00184E6B">
        <w:rPr>
          <w:rFonts w:ascii="Arial" w:hAnsi="Arial" w:cs="Arial"/>
          <w:b/>
          <w:bCs/>
          <w:sz w:val="20"/>
          <w:szCs w:val="20"/>
        </w:rPr>
        <w:t xml:space="preserve">Step </w:t>
      </w:r>
      <w:r w:rsidR="00184E6B" w:rsidRPr="00A616ED">
        <w:rPr>
          <w:rFonts w:ascii="Arial" w:hAnsi="Arial" w:cs="Arial"/>
          <w:b/>
          <w:bCs/>
          <w:sz w:val="20"/>
          <w:szCs w:val="20"/>
        </w:rPr>
        <w:t xml:space="preserve">1. Evaluate the </w:t>
      </w:r>
      <w:r w:rsidR="00184E6B">
        <w:rPr>
          <w:rFonts w:ascii="Arial" w:hAnsi="Arial" w:cs="Arial"/>
          <w:b/>
          <w:bCs/>
          <w:sz w:val="20"/>
          <w:szCs w:val="20"/>
        </w:rPr>
        <w:t>r</w:t>
      </w:r>
      <w:r w:rsidR="00184E6B" w:rsidRPr="00A616ED">
        <w:rPr>
          <w:rFonts w:ascii="Arial" w:hAnsi="Arial" w:cs="Arial"/>
          <w:b/>
          <w:bCs/>
          <w:sz w:val="20"/>
          <w:szCs w:val="20"/>
        </w:rPr>
        <w:t>esources</w:t>
      </w:r>
    </w:p>
    <w:p w14:paraId="5536955A" w14:textId="77777777" w:rsidR="00184E6B" w:rsidRPr="00A616ED" w:rsidRDefault="00184E6B" w:rsidP="00184E6B">
      <w:pPr>
        <w:spacing w:before="100" w:beforeAutospacing="1" w:after="100" w:afterAutospacing="1"/>
        <w:rPr>
          <w:rFonts w:ascii="Arial" w:hAnsi="Arial" w:cs="Arial"/>
          <w:sz w:val="20"/>
          <w:szCs w:val="20"/>
        </w:rPr>
      </w:pPr>
      <w:r w:rsidRPr="00A616ED">
        <w:rPr>
          <w:rFonts w:ascii="Arial" w:hAnsi="Arial" w:cs="Arial"/>
          <w:sz w:val="20"/>
          <w:szCs w:val="20"/>
        </w:rPr>
        <w:t xml:space="preserve">Quickly evaluate the credibility </w:t>
      </w:r>
      <w:r>
        <w:rPr>
          <w:rFonts w:ascii="Arial" w:hAnsi="Arial" w:cs="Arial"/>
          <w:sz w:val="20"/>
          <w:szCs w:val="20"/>
        </w:rPr>
        <w:t xml:space="preserve">and relevance </w:t>
      </w:r>
      <w:r w:rsidRPr="00A616ED">
        <w:rPr>
          <w:rFonts w:ascii="Arial" w:hAnsi="Arial" w:cs="Arial"/>
          <w:sz w:val="20"/>
          <w:szCs w:val="20"/>
        </w:rPr>
        <w:t xml:space="preserve">of each resource based on factors </w:t>
      </w:r>
      <w:r>
        <w:rPr>
          <w:rFonts w:ascii="Arial" w:hAnsi="Arial" w:cs="Arial"/>
          <w:sz w:val="20"/>
          <w:szCs w:val="20"/>
        </w:rPr>
        <w:t>such as</w:t>
      </w:r>
      <w:r w:rsidRPr="00A616ED">
        <w:rPr>
          <w:rFonts w:ascii="Arial" w:hAnsi="Arial" w:cs="Arial"/>
          <w:sz w:val="20"/>
          <w:szCs w:val="20"/>
        </w:rPr>
        <w:t xml:space="preserve"> author, publication date, and evidence provided. </w:t>
      </w:r>
    </w:p>
    <w:tbl>
      <w:tblPr>
        <w:tblW w:w="944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2320"/>
        <w:gridCol w:w="3510"/>
        <w:gridCol w:w="3615"/>
      </w:tblGrid>
      <w:tr w:rsidR="00184E6B" w:rsidRPr="00A616ED" w14:paraId="1FA845D5" w14:textId="77777777" w:rsidTr="00184E6B">
        <w:trPr>
          <w:tblCellSpacing w:w="15" w:type="dxa"/>
        </w:trPr>
        <w:tc>
          <w:tcPr>
            <w:tcW w:w="2275" w:type="dxa"/>
            <w:shd w:val="clear" w:color="auto" w:fill="F2F2F2" w:themeFill="background1" w:themeFillShade="F2"/>
            <w:vAlign w:val="center"/>
            <w:hideMark/>
          </w:tcPr>
          <w:p w14:paraId="2A0C7643" w14:textId="77777777" w:rsidR="00184E6B" w:rsidRPr="00A616ED" w:rsidRDefault="00184E6B" w:rsidP="00B61479">
            <w:pPr>
              <w:spacing w:before="100" w:beforeAutospacing="1" w:after="100" w:afterAutospacing="1"/>
              <w:rPr>
                <w:rFonts w:ascii="Arial" w:hAnsi="Arial" w:cs="Arial"/>
                <w:b/>
                <w:bCs/>
                <w:sz w:val="20"/>
                <w:szCs w:val="20"/>
              </w:rPr>
            </w:pPr>
            <w:r w:rsidRPr="00A616ED">
              <w:rPr>
                <w:rFonts w:ascii="Arial" w:hAnsi="Arial" w:cs="Arial"/>
                <w:b/>
                <w:bCs/>
                <w:sz w:val="20"/>
                <w:szCs w:val="20"/>
              </w:rPr>
              <w:t>Resource</w:t>
            </w:r>
          </w:p>
        </w:tc>
        <w:tc>
          <w:tcPr>
            <w:tcW w:w="3480" w:type="dxa"/>
            <w:shd w:val="clear" w:color="auto" w:fill="F2F2F2" w:themeFill="background1" w:themeFillShade="F2"/>
            <w:vAlign w:val="center"/>
            <w:hideMark/>
          </w:tcPr>
          <w:p w14:paraId="3B21B6A4" w14:textId="77777777" w:rsidR="00184E6B" w:rsidRPr="00A616ED" w:rsidRDefault="00184E6B" w:rsidP="00B61479">
            <w:pPr>
              <w:spacing w:before="100" w:beforeAutospacing="1" w:after="100" w:afterAutospacing="1"/>
              <w:rPr>
                <w:rFonts w:ascii="Arial" w:hAnsi="Arial" w:cs="Arial"/>
                <w:b/>
                <w:bCs/>
                <w:sz w:val="20"/>
                <w:szCs w:val="20"/>
              </w:rPr>
            </w:pPr>
            <w:r>
              <w:rPr>
                <w:rFonts w:ascii="Arial" w:hAnsi="Arial" w:cs="Arial"/>
                <w:b/>
                <w:bCs/>
                <w:sz w:val="20"/>
                <w:szCs w:val="20"/>
              </w:rPr>
              <w:t>Is it credible? Why or why not?</w:t>
            </w:r>
          </w:p>
        </w:tc>
        <w:tc>
          <w:tcPr>
            <w:tcW w:w="3570" w:type="dxa"/>
            <w:shd w:val="clear" w:color="auto" w:fill="F2F2F2" w:themeFill="background1" w:themeFillShade="F2"/>
            <w:vAlign w:val="center"/>
            <w:hideMark/>
          </w:tcPr>
          <w:p w14:paraId="1768844D" w14:textId="77777777" w:rsidR="00184E6B" w:rsidRPr="00A616ED" w:rsidRDefault="00184E6B" w:rsidP="00B61479">
            <w:pPr>
              <w:spacing w:before="100" w:beforeAutospacing="1" w:after="100" w:afterAutospacing="1"/>
              <w:rPr>
                <w:rFonts w:ascii="Arial" w:hAnsi="Arial" w:cs="Arial"/>
                <w:b/>
                <w:bCs/>
                <w:sz w:val="20"/>
                <w:szCs w:val="20"/>
              </w:rPr>
            </w:pPr>
            <w:r>
              <w:rPr>
                <w:rStyle w:val="Strong"/>
                <w:rFonts w:ascii="Arial" w:hAnsi="Arial" w:cs="Arial"/>
                <w:sz w:val="20"/>
                <w:szCs w:val="20"/>
              </w:rPr>
              <w:t>Is it relevant? Why or why not?</w:t>
            </w:r>
          </w:p>
        </w:tc>
      </w:tr>
      <w:tr w:rsidR="00184E6B" w:rsidRPr="00A616ED" w14:paraId="5F4EC6F3" w14:textId="77777777" w:rsidTr="00184E6B">
        <w:trPr>
          <w:tblCellSpacing w:w="15" w:type="dxa"/>
        </w:trPr>
        <w:tc>
          <w:tcPr>
            <w:tcW w:w="2275" w:type="dxa"/>
            <w:vAlign w:val="center"/>
            <w:hideMark/>
          </w:tcPr>
          <w:p>
            <w:r>
              <w:t>Resource 1: Healthcare trends blog (May 2015)</w:t>
            </w:r>
          </w:p>
        </w:tc>
        <w:tc>
          <w:tcPr>
            <w:tcW w:w="3480" w:type="dxa"/>
            <w:vAlign w:val="center"/>
            <w:hideMark/>
          </w:tcPr>
          <w:p>
            <w:r>
              <w:t>Low credibility. Blog post with no named author, no data or citations, anecdotal claims ('facilities report'), and dated 2015—lacks rigorous evidence or peer review.</w:t>
            </w:r>
          </w:p>
        </w:tc>
        <w:tc>
          <w:tcPr>
            <w:tcW w:w="3570" w:type="dxa"/>
            <w:vAlign w:val="center"/>
            <w:hideMark/>
          </w:tcPr>
          <w:p>
            <w:r>
              <w:t>Moderately relevant. Offers basic, low-cost ideas (kiosks, extra staff, amenities) applicable to any urgent care, but generic, outdated, and does not address root causes like staffing variation or peak demand forecasting seen in client data.</w:t>
            </w:r>
          </w:p>
        </w:tc>
      </w:tr>
      <w:tr w:rsidR="00184E6B" w:rsidRPr="00A616ED" w14:paraId="7FAB0B30" w14:textId="77777777" w:rsidTr="00184E6B">
        <w:trPr>
          <w:tblCellSpacing w:w="15" w:type="dxa"/>
        </w:trPr>
        <w:tc>
          <w:tcPr>
            <w:tcW w:w="2275" w:type="dxa"/>
            <w:vAlign w:val="center"/>
            <w:hideMark/>
          </w:tcPr>
          <w:p>
            <w:r>
              <w:t>Resource 2: Vendor solutions whitepaper (Oct 2022)</w:t>
            </w:r>
          </w:p>
        </w:tc>
        <w:tc>
          <w:tcPr>
            <w:tcW w:w="3480" w:type="dxa"/>
            <w:vAlign w:val="center"/>
            <w:hideMark/>
          </w:tcPr>
          <w:p>
            <w:r>
              <w:t>Medium credibility. Vendor whitepaper with specific metrics from 5 facilities (32% wait reduction), but promotional bias likely; self-reported data without independent verification.</w:t>
            </w:r>
          </w:p>
        </w:tc>
        <w:tc>
          <w:tcPr>
            <w:tcW w:w="3570" w:type="dxa"/>
            <w:vAlign w:val="center"/>
            <w:hideMark/>
          </w:tcPr>
          <w:p>
            <w:r>
              <w:t>Highly relevant. Directly targets outpatient/urgent care workflow automation with quantifiable impacts on wait times, staff productivity (+2 hrs/day), and satisfaction (88%). Aligns with efficiency goals.</w:t>
            </w:r>
          </w:p>
        </w:tc>
      </w:tr>
      <w:tr w:rsidR="00184E6B" w:rsidRPr="00A616ED" w14:paraId="39D8DAB9" w14:textId="77777777" w:rsidTr="00184E6B">
        <w:trPr>
          <w:tblCellSpacing w:w="15" w:type="dxa"/>
        </w:trPr>
        <w:tc>
          <w:tcPr>
            <w:tcW w:w="2275" w:type="dxa"/>
            <w:vAlign w:val="center"/>
            <w:hideMark/>
          </w:tcPr>
          <w:p>
            <w:r>
              <w:t>Resource 3: Leading consulting company case study (Apr 2024)</w:t>
            </w:r>
          </w:p>
        </w:tc>
        <w:tc>
          <w:tcPr>
            <w:tcW w:w="3480" w:type="dxa"/>
            <w:vAlign w:val="center"/>
            <w:hideMark/>
          </w:tcPr>
          <w:p>
            <w:r>
              <w:t>High credibility. From leading consulting firm; detailed national urgent care client example, specific AI/predictive interventions, measurable outcomes (15% wait reduction, 12% utilization gain), post-acquisition context.</w:t>
            </w:r>
          </w:p>
        </w:tc>
        <w:tc>
          <w:tcPr>
            <w:tcW w:w="3570" w:type="dxa"/>
            <w:vAlign w:val="center"/>
            <w:hideMark/>
          </w:tcPr>
          <w:p>
            <w:r>
              <w:t>Very highly relevant. Urgent care-specific (national provider integrating sites), uses AI intake + predictive scheduling to tackle peaks and inconsistencies—directly mirrors Healthy Co's 25 facilities, peak-hour data, and provider variation issues.</w:t>
            </w:r>
          </w:p>
        </w:tc>
      </w:tr>
      <w:tr w:rsidR="00184E6B" w:rsidRPr="00A616ED" w14:paraId="3C75483F" w14:textId="77777777" w:rsidTr="00184E6B">
        <w:trPr>
          <w:tblCellSpacing w:w="15" w:type="dxa"/>
        </w:trPr>
        <w:tc>
          <w:tcPr>
            <w:tcW w:w="2275" w:type="dxa"/>
            <w:vAlign w:val="center"/>
            <w:hideMark/>
          </w:tcPr>
          <w:p>
            <w:r>
              <w:t>Resource 4: Non-profit research report (Nov 2023)</w:t>
            </w:r>
          </w:p>
        </w:tc>
        <w:tc>
          <w:tcPr>
            <w:tcW w:w="3480" w:type="dxa"/>
            <w:vAlign w:val="center"/>
            <w:hideMark/>
          </w:tcPr>
          <w:p>
            <w:r>
              <w:t>High credibility. Non-profit research with data from 6 hospitals (25% OR turnover reduction, 16% utilization), mixed methods (quant + interviews), transparent on challenges (resistance).</w:t>
            </w:r>
          </w:p>
        </w:tc>
        <w:tc>
          <w:tcPr>
            <w:tcW w:w="3570" w:type="dxa"/>
            <w:vAlign w:val="center"/>
            <w:hideMark/>
          </w:tcPr>
          <w:p>
            <w:r>
              <w:t>Low relevance. Focused on inpatient hospital OR/surgical settings and turnover times, not outpatient urgent care or walk-in patient flow. Interventions (staggered OR schedules) have limited direct transferability.</w:t>
            </w:r>
          </w:p>
        </w:tc>
      </w:tr>
      <w:tr w:rsidR="00184E6B" w:rsidRPr="00A616ED" w14:paraId="5756AD1A" w14:textId="77777777" w:rsidTr="00184E6B">
        <w:trPr>
          <w:tblCellSpacing w:w="15" w:type="dxa"/>
        </w:trPr>
        <w:tc>
          <w:tcPr>
            <w:tcW w:w="2275" w:type="dxa"/>
            <w:vAlign w:val="center"/>
          </w:tcPr>
          <w:p>
            <w:r>
              <w:t>Resource 5: Peer-reviewed journal article (Feb 2025)</w:t>
            </w:r>
          </w:p>
        </w:tc>
        <w:tc>
          <w:tcPr>
            <w:tcW w:w="3480" w:type="dxa"/>
            <w:vAlign w:val="center"/>
          </w:tcPr>
          <w:p>
            <w:r>
              <w:t>High credibility. Peer-reviewed journal (Vol. 12, Issue 2), recent (2025), mixed-methods study (250 surveys + 12 interviews), statistical analysis (28% wait reduction, AOR=2.10 p=0.025), urgent care-specific.</w:t>
            </w:r>
          </w:p>
        </w:tc>
        <w:tc>
          <w:tcPr>
            <w:tcW w:w="3570" w:type="dxa"/>
            <w:vAlign w:val="center"/>
          </w:tcPr>
          <w:p>
            <w:r>
              <w:t>Very highly relevant. Directly studies urgent care low-tech interventions (block scheduling, streamlining, retraining) with precise time reductions (registration -6min, triage -8min, consult -12min). Addresses variation and flow issues matching client data.</w:t>
            </w:r>
          </w:p>
        </w:tc>
      </w:tr>
    </w:tbl>
    <w:p w14:paraId="698804DB" w14:textId="77777777" w:rsidR="00CD5692" w:rsidRPr="00AB0221" w:rsidRDefault="00000000" w:rsidP="00CD5692">
      <w:pPr>
        <w:rPr>
          <w:rFonts w:ascii="Arial" w:hAnsi="Arial" w:cs="Arial"/>
          <w:b/>
          <w:bCs/>
          <w:sz w:val="20"/>
          <w:szCs w:val="20"/>
        </w:rPr>
      </w:pPr>
      <w:r>
        <w:rPr>
          <w:rFonts w:ascii="Arial" w:hAnsi="Arial" w:cs="Arial"/>
          <w:b/>
          <w:bCs/>
          <w:noProof/>
          <w:sz w:val="20"/>
          <w:szCs w:val="20"/>
        </w:rPr>
        <w:pict w14:anchorId="7C103100">
          <v:rect id="_x0000_i1026" alt="" style="width:468pt;height:.05pt;mso-width-percent:0;mso-height-percent:0;mso-width-percent:0;mso-height-percent:0" o:hralign="center" o:hrstd="t" o:hr="t" fillcolor="#a0a0a0" stroked="f"/>
        </w:pict>
      </w:r>
    </w:p>
    <w:p w14:paraId="3A340F88" w14:textId="77777777" w:rsidR="00184E6B" w:rsidRPr="00A616ED" w:rsidRDefault="00184E6B" w:rsidP="00184E6B">
      <w:pPr>
        <w:spacing w:before="100" w:beforeAutospacing="1" w:after="100" w:afterAutospacing="1"/>
        <w:rPr>
          <w:rFonts w:ascii="Arial" w:hAnsi="Arial" w:cs="Arial"/>
          <w:b/>
          <w:bCs/>
          <w:sz w:val="20"/>
          <w:szCs w:val="20"/>
        </w:rPr>
      </w:pPr>
      <w:r>
        <w:rPr>
          <w:rFonts w:ascii="Arial" w:hAnsi="Arial" w:cs="Arial"/>
          <w:b/>
          <w:bCs/>
          <w:sz w:val="20"/>
          <w:szCs w:val="20"/>
        </w:rPr>
        <w:t xml:space="preserve">Step </w:t>
      </w:r>
      <w:r w:rsidRPr="00A616ED">
        <w:rPr>
          <w:rFonts w:ascii="Arial" w:hAnsi="Arial" w:cs="Arial"/>
          <w:b/>
          <w:bCs/>
          <w:sz w:val="20"/>
          <w:szCs w:val="20"/>
        </w:rPr>
        <w:t xml:space="preserve">2. Summarize </w:t>
      </w:r>
      <w:r>
        <w:rPr>
          <w:rFonts w:ascii="Arial" w:hAnsi="Arial" w:cs="Arial"/>
          <w:b/>
          <w:bCs/>
          <w:sz w:val="20"/>
          <w:szCs w:val="20"/>
        </w:rPr>
        <w:t>your top two resources</w:t>
      </w:r>
    </w:p>
    <w:p w14:paraId="7A44ACAB" w14:textId="77777777" w:rsidR="00184E6B" w:rsidRDefault="00184E6B" w:rsidP="00184E6B">
      <w:pPr>
        <w:spacing w:before="100" w:beforeAutospacing="1" w:after="100" w:afterAutospacing="1"/>
        <w:rPr>
          <w:rFonts w:ascii="Arial" w:hAnsi="Arial" w:cs="Arial"/>
          <w:sz w:val="20"/>
          <w:szCs w:val="20"/>
        </w:rPr>
      </w:pPr>
      <w:r w:rsidRPr="00A616ED">
        <w:rPr>
          <w:rFonts w:ascii="Arial" w:hAnsi="Arial" w:cs="Arial"/>
          <w:sz w:val="20"/>
          <w:szCs w:val="20"/>
        </w:rPr>
        <w:t xml:space="preserve">Choose the </w:t>
      </w:r>
      <w:r w:rsidRPr="0087131B">
        <w:rPr>
          <w:rFonts w:ascii="Arial" w:hAnsi="Arial" w:cs="Arial"/>
          <w:sz w:val="20"/>
          <w:szCs w:val="20"/>
        </w:rPr>
        <w:t>two most credible and relevant</w:t>
      </w:r>
      <w:r w:rsidRPr="00B26A0E">
        <w:rPr>
          <w:rFonts w:ascii="Arial" w:hAnsi="Arial" w:cs="Arial"/>
          <w:b/>
          <w:bCs/>
          <w:sz w:val="20"/>
          <w:szCs w:val="20"/>
        </w:rPr>
        <w:t xml:space="preserve"> </w:t>
      </w:r>
      <w:r w:rsidRPr="00A616ED">
        <w:rPr>
          <w:rFonts w:ascii="Arial" w:hAnsi="Arial" w:cs="Arial"/>
          <w:sz w:val="20"/>
          <w:szCs w:val="20"/>
        </w:rPr>
        <w:t xml:space="preserve">resources from Step </w:t>
      </w:r>
      <w:r>
        <w:rPr>
          <w:rFonts w:ascii="Arial" w:hAnsi="Arial" w:cs="Arial"/>
          <w:sz w:val="20"/>
          <w:szCs w:val="20"/>
        </w:rPr>
        <w:t>1</w:t>
      </w:r>
      <w:r w:rsidRPr="00A616ED">
        <w:rPr>
          <w:rFonts w:ascii="Arial" w:hAnsi="Arial" w:cs="Arial"/>
          <w:sz w:val="20"/>
          <w:szCs w:val="20"/>
        </w:rPr>
        <w:t>. Summarize the main points and insights below:</w:t>
      </w:r>
    </w:p>
    <w:p w14:paraId="267BC0A9" w14:textId="02871FBF" w:rsidR="00184E6B" w:rsidRDefault="00184E6B" w:rsidP="00184E6B">
      <w:pPr>
        <w:spacing w:before="100" w:beforeAutospacing="1" w:after="100" w:afterAutospacing="1"/>
        <w:rPr>
          <w:rFonts w:ascii="Arial" w:hAnsi="Arial" w:cs="Arial"/>
          <w:sz w:val="20"/>
          <w:szCs w:val="20"/>
        </w:rPr>
      </w:pPr>
      <w:r w:rsidRPr="00184E6B">
        <w:rPr>
          <w:rFonts w:ascii="Arial" w:hAnsi="Arial" w:cs="Arial"/>
          <w:b/>
          <w:bCs/>
          <w:sz w:val="20"/>
          <w:szCs w:val="20"/>
        </w:rPr>
        <w:t>Suggested GenAI prompt:</w:t>
      </w:r>
      <w:r w:rsidRPr="00184E6B">
        <w:rPr>
          <w:rFonts w:ascii="Arial" w:hAnsi="Arial" w:cs="Arial"/>
          <w:sz w:val="20"/>
          <w:szCs w:val="20"/>
        </w:rPr>
        <w:t xml:space="preserve"> </w:t>
      </w:r>
      <w:r w:rsidRPr="00184E6B">
        <w:rPr>
          <w:rFonts w:ascii="Arial" w:hAnsi="Arial" w:cs="Arial"/>
          <w:i/>
          <w:iCs/>
          <w:sz w:val="20"/>
          <w:szCs w:val="20"/>
        </w:rPr>
        <w:t>What are the main points in this resource? Provide a summary in bullet format that can be shared with an urgent care executive.</w:t>
      </w:r>
    </w:p>
    <w:p w14:paraId="3AA02FB6" w14:textId="77777777" w:rsidR="00184E6B" w:rsidRPr="00B26A0E" w:rsidRDefault="00184E6B" w:rsidP="00184E6B">
      <w:pPr>
        <w:spacing w:before="100" w:beforeAutospacing="1" w:after="100" w:afterAutospacing="1"/>
        <w:ind w:left="360"/>
        <w:rPr>
          <w:rFonts w:ascii="Arial" w:hAnsi="Arial" w:cs="Arial"/>
          <w:sz w:val="20"/>
          <w:szCs w:val="20"/>
        </w:rPr>
      </w:pPr>
      <w:r>
        <w:t>Resource one summary:</w:t>
        <w:br/>
        <w:t>Resource 3: Leading consulting company case study (April 2024)</w:t>
        <w:br/>
        <w:t>• National urgent care provider faced post-acquisition inconsistencies across facilities, causing workflow bottlenecks, long waits, and staff frustration.</w:t>
        <w:br/>
        <w:t>• Implemented AI-powered patient intake to automate registration, prioritize by urgency, and reduce admin burden; paired with predictive analytics for staff scheduling aligned to real-time peak demand.</w:t>
        <w:br/>
        <w:t>• Delivered 15% reduction in patient wait times and 12% improvement in staff utilization; emphasizes change management and training for successful adoption across sites.</w:t>
        <w:br/>
        <w:t>• Scalable model integrating people, process, data, and technology—ideal for multi-site urgent care operators seeking efficiency gains.</w:t>
      </w:r>
    </w:p>
    <w:p w14:paraId="2E532672" w14:textId="527D3E7B" w:rsidR="00184E6B" w:rsidRDefault="00184E6B" w:rsidP="00184E6B">
      <w:pPr>
        <w:spacing w:before="100" w:beforeAutospacing="1" w:after="100" w:afterAutospacing="1"/>
        <w:ind w:left="360"/>
        <w:rPr>
          <w:rFonts w:ascii="Arial" w:hAnsi="Arial" w:cs="Arial"/>
          <w:sz w:val="20"/>
          <w:szCs w:val="20"/>
        </w:rPr>
      </w:pPr>
      <w:r w:rsidRPr="00B26A0E">
        <w:rPr>
          <w:rFonts w:ascii="Arial" w:hAnsi="Arial" w:cs="Arial"/>
          <w:sz w:val="20"/>
          <w:szCs w:val="20"/>
        </w:rPr>
        <w:t>[</w:t>
      </w:r>
      <w:r>
        <w:rPr>
          <w:rFonts w:ascii="Arial" w:hAnsi="Arial" w:cs="Arial"/>
          <w:sz w:val="20"/>
          <w:szCs w:val="20"/>
        </w:rPr>
        <w:t xml:space="preserve">Resource </w:t>
      </w:r>
      <w:r w:rsidR="003E2186">
        <w:rPr>
          <w:rFonts w:ascii="Arial" w:hAnsi="Arial" w:cs="Arial"/>
          <w:sz w:val="20"/>
          <w:szCs w:val="20"/>
        </w:rPr>
        <w:t>n</w:t>
      </w:r>
      <w:r>
        <w:rPr>
          <w:rFonts w:ascii="Arial" w:hAnsi="Arial" w:cs="Arial"/>
          <w:sz w:val="20"/>
          <w:szCs w:val="20"/>
        </w:rPr>
        <w:t>ame</w:t>
      </w:r>
      <w:r w:rsidRPr="00B26A0E">
        <w:rPr>
          <w:rFonts w:ascii="Arial" w:hAnsi="Arial" w:cs="Arial"/>
          <w:sz w:val="20"/>
          <w:szCs w:val="20"/>
        </w:rPr>
        <w:t>]</w:t>
      </w:r>
      <w:r w:rsidRPr="00A616ED">
        <w:rPr>
          <w:rFonts w:ascii="Arial" w:hAnsi="Arial" w:cs="Arial"/>
          <w:sz w:val="20"/>
          <w:szCs w:val="20"/>
        </w:rPr>
        <w:br/>
        <w:t xml:space="preserve">[Your </w:t>
      </w:r>
      <w:r w:rsidR="003E2186">
        <w:rPr>
          <w:rFonts w:ascii="Arial" w:hAnsi="Arial" w:cs="Arial"/>
          <w:sz w:val="20"/>
          <w:szCs w:val="20"/>
        </w:rPr>
        <w:t>s</w:t>
      </w:r>
      <w:r w:rsidRPr="00A616ED">
        <w:rPr>
          <w:rFonts w:ascii="Arial" w:hAnsi="Arial" w:cs="Arial"/>
          <w:sz w:val="20"/>
          <w:szCs w:val="20"/>
        </w:rPr>
        <w:t xml:space="preserve">ummary </w:t>
      </w:r>
      <w:r w:rsidR="003E2186">
        <w:rPr>
          <w:rFonts w:ascii="Arial" w:hAnsi="Arial" w:cs="Arial"/>
          <w:sz w:val="20"/>
          <w:szCs w:val="20"/>
        </w:rPr>
        <w:t>h</w:t>
      </w:r>
      <w:r w:rsidRPr="00A616ED">
        <w:rPr>
          <w:rFonts w:ascii="Arial" w:hAnsi="Arial" w:cs="Arial"/>
          <w:sz w:val="20"/>
          <w:szCs w:val="20"/>
        </w:rPr>
        <w:t>ere]</w:t>
      </w:r>
    </w:p>
    <w:p w14:paraId="46F6A846" w14:textId="77777777" w:rsidR="00184E6B" w:rsidRPr="00B26A0E" w:rsidRDefault="00184E6B" w:rsidP="00184E6B">
      <w:pPr>
        <w:spacing w:before="100" w:beforeAutospacing="1" w:after="100" w:afterAutospacing="1"/>
        <w:ind w:left="360"/>
        <w:rPr>
          <w:rFonts w:ascii="Arial" w:hAnsi="Arial" w:cs="Arial"/>
          <w:sz w:val="20"/>
          <w:szCs w:val="20"/>
        </w:rPr>
      </w:pPr>
      <w:r>
        <w:t>Resource two summary:</w:t>
        <w:br/>
        <w:t>Resource 5: Peer-reviewed journal article (February 2025)</w:t>
        <w:br/>
        <w:t>• Evaluated three practical interventions in urgent care: block appointment scheduling, workflow streamlining, and targeted staff retraining using mixed-methods (250 patient surveys + 12 provider/patient interviews).</w:t>
        <w:br/>
        <w:t>• Achieved 28% reduction in median wait times (3h45m → 2h40m overall); specific gains included registration (-6 min), triage (-8 min), and provider consultation (-12 min).</w:t>
        <w:br/>
        <w:t>• Staff retraining significantly boosted triage efficiency (statistically validated, AOR=2.10, p=0.025); patients and providers reported better flow, communication, and satisfaction.</w:t>
        <w:br/>
        <w:t>• Practical, low-tech solution requiring ongoing adherence monitoring and modest infrastructure investment to sustain results in real-world urgent care settings.</w:t>
      </w:r>
    </w:p>
    <w:p w14:paraId="7FA25C7E" w14:textId="49CEFBED" w:rsidR="00184E6B" w:rsidRPr="00A616ED" w:rsidRDefault="00184E6B" w:rsidP="00184E6B">
      <w:pPr>
        <w:spacing w:before="100" w:beforeAutospacing="1" w:after="100" w:afterAutospacing="1"/>
        <w:ind w:left="360"/>
        <w:rPr>
          <w:rFonts w:ascii="Arial" w:hAnsi="Arial" w:cs="Arial"/>
          <w:sz w:val="20"/>
          <w:szCs w:val="20"/>
        </w:rPr>
      </w:pPr>
      <w:r w:rsidRPr="00B26A0E">
        <w:rPr>
          <w:rFonts w:ascii="Arial" w:hAnsi="Arial" w:cs="Arial"/>
          <w:sz w:val="20"/>
          <w:szCs w:val="20"/>
        </w:rPr>
        <w:t>[</w:t>
      </w:r>
      <w:r>
        <w:rPr>
          <w:rFonts w:ascii="Arial" w:hAnsi="Arial" w:cs="Arial"/>
          <w:sz w:val="20"/>
          <w:szCs w:val="20"/>
        </w:rPr>
        <w:t xml:space="preserve">Resource </w:t>
      </w:r>
      <w:r w:rsidR="003E2186">
        <w:rPr>
          <w:rFonts w:ascii="Arial" w:hAnsi="Arial" w:cs="Arial"/>
          <w:sz w:val="20"/>
          <w:szCs w:val="20"/>
        </w:rPr>
        <w:t>n</w:t>
      </w:r>
      <w:r>
        <w:rPr>
          <w:rFonts w:ascii="Arial" w:hAnsi="Arial" w:cs="Arial"/>
          <w:sz w:val="20"/>
          <w:szCs w:val="20"/>
        </w:rPr>
        <w:t>ame</w:t>
      </w:r>
      <w:r w:rsidRPr="00B26A0E">
        <w:rPr>
          <w:rFonts w:ascii="Arial" w:hAnsi="Arial" w:cs="Arial"/>
          <w:sz w:val="20"/>
          <w:szCs w:val="20"/>
        </w:rPr>
        <w:t>]</w:t>
      </w:r>
      <w:r w:rsidRPr="00A616ED">
        <w:rPr>
          <w:rFonts w:ascii="Arial" w:hAnsi="Arial" w:cs="Arial"/>
          <w:sz w:val="20"/>
          <w:szCs w:val="20"/>
        </w:rPr>
        <w:br/>
        <w:t xml:space="preserve">[Your </w:t>
      </w:r>
      <w:r w:rsidR="003E2186">
        <w:rPr>
          <w:rFonts w:ascii="Arial" w:hAnsi="Arial" w:cs="Arial"/>
          <w:sz w:val="20"/>
          <w:szCs w:val="20"/>
        </w:rPr>
        <w:t>s</w:t>
      </w:r>
      <w:r w:rsidRPr="00A616ED">
        <w:rPr>
          <w:rFonts w:ascii="Arial" w:hAnsi="Arial" w:cs="Arial"/>
          <w:sz w:val="20"/>
          <w:szCs w:val="20"/>
        </w:rPr>
        <w:t xml:space="preserve">ummary </w:t>
      </w:r>
      <w:r w:rsidR="003E2186">
        <w:rPr>
          <w:rFonts w:ascii="Arial" w:hAnsi="Arial" w:cs="Arial"/>
          <w:sz w:val="20"/>
          <w:szCs w:val="20"/>
        </w:rPr>
        <w:t>h</w:t>
      </w:r>
      <w:r w:rsidRPr="00A616ED">
        <w:rPr>
          <w:rFonts w:ascii="Arial" w:hAnsi="Arial" w:cs="Arial"/>
          <w:sz w:val="20"/>
          <w:szCs w:val="20"/>
        </w:rPr>
        <w:t>ere]</w:t>
      </w:r>
    </w:p>
    <w:p w14:paraId="3068E03E" w14:textId="2D6CB9B3" w:rsidR="00F07864" w:rsidRPr="00184E6B" w:rsidRDefault="00000000" w:rsidP="00CD5692">
      <w:pPr>
        <w:rPr>
          <w:rFonts w:ascii="Arial" w:hAnsi="Arial" w:cs="Arial"/>
          <w:sz w:val="20"/>
          <w:szCs w:val="20"/>
        </w:rPr>
      </w:pPr>
      <w:bookmarkStart w:id="0" w:name="_Hlk194343753"/>
      <w:r>
        <w:rPr>
          <w:rFonts w:ascii="Arial" w:hAnsi="Arial" w:cs="Arial"/>
          <w:noProof/>
          <w:sz w:val="20"/>
          <w:szCs w:val="20"/>
        </w:rPr>
        <w:pict w14:anchorId="1434C543">
          <v:rect id="_x0000_i1027" alt="" style="width:468pt;height:.05pt;mso-width-percent:0;mso-height-percent:0;mso-width-percent:0;mso-height-percent:0" o:hralign="center" o:hrstd="t" o:hr="t" fillcolor="#a0a0a0" stroked="f"/>
        </w:pict>
      </w:r>
      <w:bookmarkEnd w:id="0"/>
    </w:p>
    <w:p w14:paraId="5595260A" w14:textId="77777777" w:rsidR="00184E6B" w:rsidRPr="00184E6B" w:rsidRDefault="00184E6B" w:rsidP="00184E6B">
      <w:pPr>
        <w:rPr>
          <w:rFonts w:ascii="Arial" w:hAnsi="Arial" w:cs="Arial"/>
          <w:b/>
          <w:bCs/>
          <w:sz w:val="20"/>
          <w:szCs w:val="20"/>
        </w:rPr>
      </w:pPr>
      <w:r w:rsidRPr="00184E6B">
        <w:rPr>
          <w:rFonts w:ascii="Arial" w:hAnsi="Arial" w:cs="Arial"/>
          <w:b/>
          <w:bCs/>
          <w:sz w:val="20"/>
          <w:szCs w:val="20"/>
        </w:rPr>
        <w:t>Step 3. Identify two leading practices</w:t>
      </w:r>
    </w:p>
    <w:p w14:paraId="55E13449" w14:textId="77777777" w:rsidR="00184E6B" w:rsidRPr="00184E6B" w:rsidRDefault="00184E6B" w:rsidP="00184E6B">
      <w:pPr>
        <w:rPr>
          <w:rFonts w:ascii="Arial" w:hAnsi="Arial" w:cs="Arial"/>
          <w:sz w:val="20"/>
          <w:szCs w:val="20"/>
        </w:rPr>
      </w:pPr>
      <w:r w:rsidRPr="00184E6B">
        <w:rPr>
          <w:rFonts w:ascii="Arial" w:hAnsi="Arial" w:cs="Arial"/>
          <w:sz w:val="20"/>
          <w:szCs w:val="20"/>
        </w:rPr>
        <w:t xml:space="preserve">From your two top resources, extract two leading practices that could help reduce </w:t>
      </w:r>
      <w:proofErr w:type="gramStart"/>
      <w:r w:rsidRPr="00184E6B">
        <w:rPr>
          <w:rFonts w:ascii="Arial" w:hAnsi="Arial" w:cs="Arial"/>
          <w:sz w:val="20"/>
          <w:szCs w:val="20"/>
        </w:rPr>
        <w:t>wait</w:t>
      </w:r>
      <w:proofErr w:type="gramEnd"/>
      <w:r w:rsidRPr="00184E6B">
        <w:rPr>
          <w:rFonts w:ascii="Arial" w:hAnsi="Arial" w:cs="Arial"/>
          <w:sz w:val="20"/>
          <w:szCs w:val="20"/>
        </w:rPr>
        <w:t xml:space="preserve"> times in urgent care settings.</w:t>
      </w:r>
    </w:p>
    <w:p w14:paraId="3B9FA884" w14:textId="13C90FC9" w:rsidR="00184E6B" w:rsidRPr="00184E6B" w:rsidRDefault="00184E6B" w:rsidP="00184E6B">
      <w:pPr>
        <w:rPr>
          <w:rFonts w:ascii="Arial" w:hAnsi="Arial" w:cs="Arial"/>
          <w:i/>
          <w:iCs/>
          <w:sz w:val="20"/>
          <w:szCs w:val="20"/>
        </w:rPr>
      </w:pPr>
      <w:r w:rsidRPr="00184E6B">
        <w:rPr>
          <w:rFonts w:ascii="Arial" w:hAnsi="Arial" w:cs="Arial"/>
          <w:b/>
          <w:bCs/>
          <w:sz w:val="20"/>
          <w:szCs w:val="20"/>
        </w:rPr>
        <w:lastRenderedPageBreak/>
        <w:t>Suggested GenAI prompt:</w:t>
      </w:r>
      <w:r w:rsidRPr="00184E6B">
        <w:rPr>
          <w:rFonts w:ascii="Arial" w:hAnsi="Arial" w:cs="Arial"/>
          <w:sz w:val="20"/>
          <w:szCs w:val="20"/>
        </w:rPr>
        <w:t xml:space="preserve"> </w:t>
      </w:r>
      <w:r w:rsidRPr="00184E6B">
        <w:rPr>
          <w:rFonts w:ascii="Arial" w:hAnsi="Arial" w:cs="Arial"/>
          <w:i/>
          <w:iCs/>
          <w:sz w:val="20"/>
          <w:szCs w:val="20"/>
        </w:rPr>
        <w:t xml:space="preserve">What strategies in these resources could help reduce </w:t>
      </w:r>
      <w:proofErr w:type="gramStart"/>
      <w:r w:rsidRPr="00184E6B">
        <w:rPr>
          <w:rFonts w:ascii="Arial" w:hAnsi="Arial" w:cs="Arial"/>
          <w:i/>
          <w:iCs/>
          <w:sz w:val="20"/>
          <w:szCs w:val="20"/>
        </w:rPr>
        <w:t>wait</w:t>
      </w:r>
      <w:proofErr w:type="gramEnd"/>
      <w:r w:rsidRPr="00184E6B">
        <w:rPr>
          <w:rFonts w:ascii="Arial" w:hAnsi="Arial" w:cs="Arial"/>
          <w:i/>
          <w:iCs/>
          <w:sz w:val="20"/>
          <w:szCs w:val="20"/>
        </w:rPr>
        <w:t xml:space="preserve"> times in urgent care facilities? Please provide your response in a format that can be shared with an urgent care executive.</w:t>
      </w:r>
    </w:p>
    <w:p w14:paraId="77109B2E" w14:textId="030BA48E" w:rsidR="00184E6B" w:rsidRDefault="003E2186" w:rsidP="00184E6B">
      <w:pPr>
        <w:rPr>
          <w:rFonts w:ascii="Arial" w:hAnsi="Arial" w:cs="Arial"/>
          <w:sz w:val="20"/>
          <w:szCs w:val="20"/>
        </w:rPr>
      </w:pPr>
      <w:r w:rsidRPr="003E2186">
        <w:rPr>
          <w:rFonts w:ascii="Arial" w:hAnsi="Arial" w:cs="Arial"/>
          <w:sz w:val="20"/>
          <w:szCs w:val="20"/>
        </w:rPr>
        <w:t>W</w:t>
      </w:r>
      <w:r w:rsidR="00184E6B" w:rsidRPr="00184E6B">
        <w:rPr>
          <w:rFonts w:ascii="Arial" w:hAnsi="Arial" w:cs="Arial"/>
          <w:sz w:val="20"/>
          <w:szCs w:val="20"/>
        </w:rPr>
        <w:t>hen selecting a strategy, consider:</w:t>
      </w:r>
    </w:p>
    <w:p w14:paraId="6D9EAAF3" w14:textId="77777777" w:rsidR="003E2186" w:rsidRDefault="00184E6B" w:rsidP="003E2186">
      <w:pPr>
        <w:numPr>
          <w:ilvl w:val="0"/>
          <w:numId w:val="7"/>
        </w:numPr>
        <w:spacing w:before="100" w:beforeAutospacing="1" w:after="100" w:afterAutospacing="1" w:line="360" w:lineRule="auto"/>
        <w:rPr>
          <w:rFonts w:ascii="Arial" w:hAnsi="Arial" w:cs="Arial"/>
          <w:sz w:val="20"/>
          <w:szCs w:val="20"/>
        </w:rPr>
      </w:pPr>
      <w:r w:rsidRPr="003E2186">
        <w:rPr>
          <w:rFonts w:ascii="Arial" w:hAnsi="Arial" w:cs="Arial"/>
          <w:sz w:val="20"/>
          <w:szCs w:val="20"/>
        </w:rPr>
        <w:t>Is it realistic for the client to implement?</w:t>
      </w:r>
    </w:p>
    <w:p w14:paraId="34A138F1" w14:textId="77777777" w:rsidR="003E2186" w:rsidRDefault="00184E6B" w:rsidP="003E2186">
      <w:pPr>
        <w:numPr>
          <w:ilvl w:val="0"/>
          <w:numId w:val="7"/>
        </w:numPr>
        <w:spacing w:before="100" w:beforeAutospacing="1" w:after="100" w:afterAutospacing="1" w:line="360" w:lineRule="auto"/>
        <w:rPr>
          <w:rFonts w:ascii="Arial" w:hAnsi="Arial" w:cs="Arial"/>
          <w:sz w:val="20"/>
          <w:szCs w:val="20"/>
        </w:rPr>
      </w:pPr>
      <w:r w:rsidRPr="003E2186">
        <w:rPr>
          <w:rFonts w:ascii="Arial" w:hAnsi="Arial" w:cs="Arial"/>
          <w:sz w:val="20"/>
          <w:szCs w:val="20"/>
        </w:rPr>
        <w:t xml:space="preserve">Will it meaningfully reduce </w:t>
      </w:r>
      <w:proofErr w:type="gramStart"/>
      <w:r w:rsidRPr="003E2186">
        <w:rPr>
          <w:rFonts w:ascii="Arial" w:hAnsi="Arial" w:cs="Arial"/>
          <w:sz w:val="20"/>
          <w:szCs w:val="20"/>
        </w:rPr>
        <w:t>wait</w:t>
      </w:r>
      <w:proofErr w:type="gramEnd"/>
      <w:r w:rsidRPr="003E2186">
        <w:rPr>
          <w:rFonts w:ascii="Arial" w:hAnsi="Arial" w:cs="Arial"/>
          <w:sz w:val="20"/>
          <w:szCs w:val="20"/>
        </w:rPr>
        <w:t xml:space="preserve"> times or improve patient experience?</w:t>
      </w:r>
    </w:p>
    <w:p w14:paraId="46FF9605" w14:textId="25FA8A25" w:rsidR="00184E6B" w:rsidRPr="003E2186" w:rsidRDefault="00184E6B" w:rsidP="00184E6B">
      <w:pPr>
        <w:numPr>
          <w:ilvl w:val="0"/>
          <w:numId w:val="7"/>
        </w:numPr>
        <w:spacing w:before="100" w:beforeAutospacing="1" w:after="100" w:afterAutospacing="1" w:line="360" w:lineRule="auto"/>
        <w:rPr>
          <w:rFonts w:ascii="Arial" w:hAnsi="Arial" w:cs="Arial"/>
          <w:sz w:val="20"/>
          <w:szCs w:val="20"/>
        </w:rPr>
      </w:pPr>
      <w:r w:rsidRPr="003E2186">
        <w:rPr>
          <w:rFonts w:ascii="Arial" w:hAnsi="Arial" w:cs="Arial"/>
          <w:sz w:val="20"/>
          <w:szCs w:val="20"/>
        </w:rPr>
        <w:t>Could cost, staffing, or other barriers get in the way?</w:t>
      </w:r>
    </w:p>
    <w:p w14:paraId="11E1F75E" w14:textId="2832FC23" w:rsidR="00184E6B" w:rsidRPr="00184E6B" w:rsidRDefault="00184E6B" w:rsidP="00184E6B">
      <w:pPr>
        <w:rPr>
          <w:rFonts w:ascii="Arial" w:hAnsi="Arial" w:cs="Arial"/>
          <w:b/>
          <w:bCs/>
          <w:sz w:val="20"/>
          <w:szCs w:val="20"/>
        </w:rPr>
      </w:pPr>
      <w:r>
        <w:t>Leading practice 1:</w:t>
        <w:br/>
        <w:t>Resource 3: Leading consulting company case study (April 2024)</w:t>
        <w:br/>
        <w:t>Predictive staff scheduling powered by analytics to align resources with peak patient demand. This is realistic for a 25-facility operator with existing visit data (e.g., peak arrivals 9-10am, 12-1pm, 6-7pm); it meaningfully reduces waits (15% in similar national urgent care) and improves utilization (12%) by addressing mismatches that drive high wait costs (e.g., Dr. Balla's 29.6-min avg). Barriers like tech investment and schedule resistance are manageable via phased rollout and change management, delivering quick ROI through lower overtime and higher throughput.</w:t>
      </w:r>
    </w:p>
    <w:p w14:paraId="16B20653" w14:textId="095750E3" w:rsidR="00184E6B" w:rsidRPr="00184E6B" w:rsidRDefault="00184E6B" w:rsidP="00184E6B">
      <w:pPr>
        <w:ind w:left="720"/>
        <w:rPr>
          <w:rFonts w:ascii="Arial" w:hAnsi="Arial" w:cs="Arial"/>
          <w:sz w:val="20"/>
          <w:szCs w:val="20"/>
        </w:rPr>
      </w:pPr>
      <w:r w:rsidRPr="00184E6B">
        <w:rPr>
          <w:rFonts w:ascii="Arial" w:hAnsi="Arial" w:cs="Arial"/>
          <w:sz w:val="20"/>
          <w:szCs w:val="20"/>
        </w:rPr>
        <w:t xml:space="preserve">[Leading </w:t>
      </w:r>
      <w:r w:rsidR="003E2186">
        <w:rPr>
          <w:rFonts w:ascii="Arial" w:hAnsi="Arial" w:cs="Arial"/>
          <w:sz w:val="20"/>
          <w:szCs w:val="20"/>
        </w:rPr>
        <w:t>p</w:t>
      </w:r>
      <w:r w:rsidRPr="00184E6B">
        <w:rPr>
          <w:rFonts w:ascii="Arial" w:hAnsi="Arial" w:cs="Arial"/>
          <w:sz w:val="20"/>
          <w:szCs w:val="20"/>
        </w:rPr>
        <w:t>ractice/</w:t>
      </w:r>
      <w:r w:rsidR="003E2186">
        <w:rPr>
          <w:rFonts w:ascii="Arial" w:hAnsi="Arial" w:cs="Arial"/>
          <w:sz w:val="20"/>
          <w:szCs w:val="20"/>
        </w:rPr>
        <w:t>r</w:t>
      </w:r>
      <w:r w:rsidRPr="00184E6B">
        <w:rPr>
          <w:rFonts w:ascii="Arial" w:hAnsi="Arial" w:cs="Arial"/>
          <w:sz w:val="20"/>
          <w:szCs w:val="20"/>
        </w:rPr>
        <w:t xml:space="preserve">eason for </w:t>
      </w:r>
      <w:r w:rsidR="003E2186">
        <w:rPr>
          <w:rFonts w:ascii="Arial" w:hAnsi="Arial" w:cs="Arial"/>
          <w:sz w:val="20"/>
          <w:szCs w:val="20"/>
        </w:rPr>
        <w:t>i</w:t>
      </w:r>
      <w:r w:rsidRPr="00184E6B">
        <w:rPr>
          <w:rFonts w:ascii="Arial" w:hAnsi="Arial" w:cs="Arial"/>
          <w:sz w:val="20"/>
          <w:szCs w:val="20"/>
        </w:rPr>
        <w:t>nclusion]</w:t>
      </w:r>
    </w:p>
    <w:p w14:paraId="46A94AF6" w14:textId="77777777" w:rsidR="00184E6B" w:rsidRPr="00184E6B" w:rsidRDefault="00184E6B" w:rsidP="00184E6B">
      <w:pPr>
        <w:rPr>
          <w:rFonts w:ascii="Arial" w:hAnsi="Arial" w:cs="Arial"/>
          <w:b/>
          <w:bCs/>
          <w:sz w:val="20"/>
          <w:szCs w:val="20"/>
        </w:rPr>
      </w:pPr>
      <w:r>
        <w:t>Leading practice 2:</w:t>
        <w:br/>
        <w:t>Resource 5: Peer-reviewed journal article (February 2025)</w:t>
        <w:br/>
        <w:t>Targeted staff retraining + workflow streamlining and block scheduling to standardize processes and reduce variation. Highly realistic (low-tech, leverages current staff); directly tackles client-observed spreads (35% nurse vitals time difference, longer Group 1 visits, doctor consult variation) with proven 28% median wait cut and specific efficiency gains in registration/triage/consult. Minimal capital barriers; main challenge is sustaining adherence across sites, addressed by monitoring (building on Task 2 pivot analysis) and tying to performance metrics for lasting patient experience improvements.</w:t>
      </w:r>
    </w:p>
    <w:p w14:paraId="5E90F07A" w14:textId="5F7FF1BC" w:rsidR="00CD5692" w:rsidRDefault="00184E6B" w:rsidP="00184E6B">
      <w:pPr>
        <w:ind w:left="720"/>
        <w:rPr>
          <w:rFonts w:ascii="Arial" w:hAnsi="Arial" w:cs="Arial"/>
          <w:sz w:val="20"/>
          <w:szCs w:val="20"/>
        </w:rPr>
      </w:pPr>
      <w:r w:rsidRPr="00184E6B">
        <w:rPr>
          <w:rFonts w:ascii="Arial" w:hAnsi="Arial" w:cs="Arial"/>
          <w:sz w:val="20"/>
          <w:szCs w:val="20"/>
        </w:rPr>
        <w:t xml:space="preserve">[Leading </w:t>
      </w:r>
      <w:r w:rsidR="003E2186">
        <w:rPr>
          <w:rFonts w:ascii="Arial" w:hAnsi="Arial" w:cs="Arial"/>
          <w:sz w:val="20"/>
          <w:szCs w:val="20"/>
        </w:rPr>
        <w:t>p</w:t>
      </w:r>
      <w:r w:rsidRPr="00184E6B">
        <w:rPr>
          <w:rFonts w:ascii="Arial" w:hAnsi="Arial" w:cs="Arial"/>
          <w:sz w:val="20"/>
          <w:szCs w:val="20"/>
        </w:rPr>
        <w:t>ractice/</w:t>
      </w:r>
      <w:r w:rsidR="003E2186">
        <w:rPr>
          <w:rFonts w:ascii="Arial" w:hAnsi="Arial" w:cs="Arial"/>
          <w:sz w:val="20"/>
          <w:szCs w:val="20"/>
        </w:rPr>
        <w:t>r</w:t>
      </w:r>
      <w:r w:rsidRPr="00184E6B">
        <w:rPr>
          <w:rFonts w:ascii="Arial" w:hAnsi="Arial" w:cs="Arial"/>
          <w:sz w:val="20"/>
          <w:szCs w:val="20"/>
        </w:rPr>
        <w:t xml:space="preserve">eason for </w:t>
      </w:r>
      <w:r w:rsidR="003E2186">
        <w:rPr>
          <w:rFonts w:ascii="Arial" w:hAnsi="Arial" w:cs="Arial"/>
          <w:sz w:val="20"/>
          <w:szCs w:val="20"/>
        </w:rPr>
        <w:t>i</w:t>
      </w:r>
      <w:r w:rsidRPr="00184E6B">
        <w:rPr>
          <w:rFonts w:ascii="Arial" w:hAnsi="Arial" w:cs="Arial"/>
          <w:sz w:val="20"/>
          <w:szCs w:val="20"/>
        </w:rPr>
        <w:t>nclusion</w:t>
      </w:r>
    </w:p>
    <w:p w14:paraId="08A9A1EF" w14:textId="5438029F" w:rsidR="00184E6B" w:rsidRDefault="00000000" w:rsidP="00184E6B">
      <w:pPr>
        <w:rPr>
          <w:rFonts w:ascii="Arial" w:hAnsi="Arial" w:cs="Arial"/>
          <w:noProof/>
          <w:sz w:val="20"/>
          <w:szCs w:val="20"/>
        </w:rPr>
      </w:pPr>
      <w:r>
        <w:rPr>
          <w:rFonts w:ascii="Arial" w:hAnsi="Arial" w:cs="Arial"/>
          <w:noProof/>
          <w:sz w:val="20"/>
          <w:szCs w:val="20"/>
        </w:rPr>
        <w:pict w14:anchorId="00C9AE80">
          <v:rect id="_x0000_i1028" alt="" style="width:468pt;height:.05pt;mso-width-percent:0;mso-height-percent:0;mso-width-percent:0;mso-height-percent:0" o:hralign="center" o:hrstd="t" o:hr="t" fillcolor="#a0a0a0" stroked="f"/>
        </w:pict>
      </w:r>
    </w:p>
    <w:p w14:paraId="61AB3235" w14:textId="77777777" w:rsidR="00184E6B" w:rsidRDefault="00184E6B" w:rsidP="00184E6B">
      <w:pPr>
        <w:spacing w:before="100" w:beforeAutospacing="1" w:after="100" w:afterAutospacing="1"/>
        <w:rPr>
          <w:rFonts w:ascii="Arial" w:hAnsi="Arial" w:cs="Arial"/>
          <w:b/>
          <w:bCs/>
          <w:sz w:val="20"/>
          <w:szCs w:val="20"/>
        </w:rPr>
      </w:pPr>
      <w:r w:rsidRPr="00A616ED">
        <w:rPr>
          <w:rFonts w:ascii="Arial" w:hAnsi="Arial" w:cs="Arial"/>
          <w:b/>
          <w:bCs/>
          <w:sz w:val="20"/>
          <w:szCs w:val="20"/>
        </w:rPr>
        <w:t xml:space="preserve">4. </w:t>
      </w:r>
      <w:r>
        <w:rPr>
          <w:rFonts w:ascii="Arial" w:hAnsi="Arial" w:cs="Arial"/>
          <w:b/>
          <w:bCs/>
          <w:sz w:val="20"/>
          <w:szCs w:val="20"/>
        </w:rPr>
        <w:t>Optional questions</w:t>
      </w:r>
    </w:p>
    <w:p w14:paraId="7FB203C6" w14:textId="77777777" w:rsidR="00184E6B" w:rsidRPr="009A56B2" w:rsidRDefault="00184E6B" w:rsidP="00184E6B">
      <w:pPr>
        <w:spacing w:before="100" w:beforeAutospacing="1" w:after="100" w:afterAutospacing="1"/>
        <w:rPr>
          <w:rFonts w:ascii="Arial" w:hAnsi="Arial" w:cs="Arial"/>
          <w:sz w:val="20"/>
          <w:szCs w:val="20"/>
        </w:rPr>
      </w:pPr>
      <w:r w:rsidRPr="009A56B2">
        <w:rPr>
          <w:rFonts w:ascii="Arial" w:hAnsi="Arial" w:cs="Arial"/>
          <w:sz w:val="20"/>
          <w:szCs w:val="20"/>
        </w:rPr>
        <w:t>Use the space below to reflect on how these practices apply to your client’s situation.</w:t>
      </w:r>
    </w:p>
    <w:p w14:paraId="3199727C" w14:textId="1C7746B0" w:rsidR="00184E6B" w:rsidRPr="00184E6B" w:rsidRDefault="00184E6B" w:rsidP="00184E6B">
      <w:pPr>
        <w:numPr>
          <w:ilvl w:val="0"/>
          <w:numId w:val="7"/>
        </w:numPr>
        <w:spacing w:before="100" w:beforeAutospacing="1" w:after="100" w:afterAutospacing="1" w:line="360" w:lineRule="auto"/>
        <w:rPr>
          <w:rFonts w:ascii="Arial" w:hAnsi="Arial" w:cs="Arial"/>
          <w:sz w:val="20"/>
          <w:szCs w:val="20"/>
        </w:rPr>
      </w:pPr>
      <w:r w:rsidRPr="0087131B">
        <w:rPr>
          <w:rFonts w:ascii="Arial" w:hAnsi="Arial" w:cs="Arial"/>
          <w:sz w:val="20"/>
          <w:szCs w:val="20"/>
        </w:rPr>
        <w:t>How can these strategies be applied in the client’s specific context?</w:t>
      </w:r>
      <w:r w:rsidRPr="003B3BCF">
        <w:rPr>
          <w:rFonts w:ascii="Arial" w:hAnsi="Arial" w:cs="Arial"/>
          <w:sz w:val="20"/>
          <w:szCs w:val="20"/>
        </w:rPr>
        <w:br/>
        <w:t xml:space="preserve">[Your </w:t>
      </w:r>
      <w:r w:rsidR="003E2186">
        <w:rPr>
          <w:rFonts w:ascii="Arial" w:hAnsi="Arial" w:cs="Arial"/>
          <w:sz w:val="20"/>
          <w:szCs w:val="20"/>
        </w:rPr>
        <w:t>n</w:t>
      </w:r>
      <w:r w:rsidRPr="003B3BCF">
        <w:rPr>
          <w:rFonts w:ascii="Arial" w:hAnsi="Arial" w:cs="Arial"/>
          <w:sz w:val="20"/>
          <w:szCs w:val="20"/>
        </w:rPr>
        <w:t xml:space="preserve">otes </w:t>
      </w:r>
      <w:r w:rsidR="003E2186">
        <w:rPr>
          <w:rFonts w:ascii="Arial" w:hAnsi="Arial" w:cs="Arial"/>
          <w:sz w:val="20"/>
          <w:szCs w:val="20"/>
        </w:rPr>
        <w:t>h</w:t>
      </w:r>
      <w:r w:rsidRPr="003B3BCF">
        <w:rPr>
          <w:rFonts w:ascii="Arial" w:hAnsi="Arial" w:cs="Arial"/>
          <w:sz w:val="20"/>
          <w:szCs w:val="20"/>
        </w:rPr>
        <w:t>ere]</w:t>
      </w:r>
    </w:p>
    <w:p w14:paraId="3D51C770" w14:textId="247EFF3E" w:rsidR="00184E6B" w:rsidRPr="003B3BCF" w:rsidRDefault="00184E6B" w:rsidP="00184E6B">
      <w:pPr>
        <w:numPr>
          <w:ilvl w:val="0"/>
          <w:numId w:val="7"/>
        </w:numPr>
        <w:spacing w:before="100" w:beforeAutospacing="1" w:after="100" w:afterAutospacing="1" w:line="360" w:lineRule="auto"/>
        <w:rPr>
          <w:rFonts w:ascii="Arial" w:hAnsi="Arial" w:cs="Arial"/>
          <w:sz w:val="20"/>
          <w:szCs w:val="20"/>
        </w:rPr>
      </w:pPr>
      <w:r>
        <w:t>Predictive scheduling (Resource 3) can be applied by analyzing Healthy Co's arrival hour and diagnosis group data (Task 2) to forecast peaks and optimize nurse/doctor assignments across 25 sites—e.g., more coverage during 12pm spikes or for high-acuity Group 1. Staff retraining + streamlining (Resource 5) fits by standardizing vitals/consult protocols to reduce the 35% nurse time variation (Birdsall 4.18min vs Banu 5.67min) and doctor differences (Dr. Balla outlier), using block scheduling for routine Group 3 (59% volume) to enable fast-track. Pilot at 3-5 high-volume facilities first, then scale with centralized analytics dashboard.</w:t>
      </w:r>
    </w:p>
    <w:p w14:paraId="055CECA2" w14:textId="60016255" w:rsidR="00184E6B" w:rsidRPr="00A616ED" w:rsidRDefault="00184E6B" w:rsidP="00184E6B">
      <w:pPr>
        <w:numPr>
          <w:ilvl w:val="0"/>
          <w:numId w:val="7"/>
        </w:numPr>
        <w:spacing w:before="100" w:beforeAutospacing="1" w:after="100" w:afterAutospacing="1" w:line="360" w:lineRule="auto"/>
        <w:rPr>
          <w:rFonts w:ascii="Arial" w:hAnsi="Arial" w:cs="Arial"/>
          <w:sz w:val="20"/>
          <w:szCs w:val="20"/>
        </w:rPr>
      </w:pPr>
      <w:r w:rsidRPr="0087131B">
        <w:rPr>
          <w:rFonts w:ascii="Arial" w:hAnsi="Arial" w:cs="Arial"/>
          <w:sz w:val="20"/>
          <w:szCs w:val="20"/>
        </w:rPr>
        <w:t>What challenges or considerations should be addressed when implementing these strategies?</w:t>
      </w:r>
      <w:r w:rsidRPr="00A616ED">
        <w:rPr>
          <w:rFonts w:ascii="Arial" w:hAnsi="Arial" w:cs="Arial"/>
          <w:sz w:val="20"/>
          <w:szCs w:val="20"/>
        </w:rPr>
        <w:br/>
        <w:t xml:space="preserve">[Your </w:t>
      </w:r>
      <w:r w:rsidR="003E2186">
        <w:rPr>
          <w:rFonts w:ascii="Arial" w:hAnsi="Arial" w:cs="Arial"/>
          <w:sz w:val="20"/>
          <w:szCs w:val="20"/>
        </w:rPr>
        <w:t>n</w:t>
      </w:r>
      <w:r w:rsidRPr="00A616ED">
        <w:rPr>
          <w:rFonts w:ascii="Arial" w:hAnsi="Arial" w:cs="Arial"/>
          <w:sz w:val="20"/>
          <w:szCs w:val="20"/>
        </w:rPr>
        <w:t xml:space="preserve">otes </w:t>
      </w:r>
      <w:r w:rsidR="003E2186">
        <w:rPr>
          <w:rFonts w:ascii="Arial" w:hAnsi="Arial" w:cs="Arial"/>
          <w:sz w:val="20"/>
          <w:szCs w:val="20"/>
        </w:rPr>
        <w:t>h</w:t>
      </w:r>
      <w:r w:rsidRPr="00A616ED">
        <w:rPr>
          <w:rFonts w:ascii="Arial" w:hAnsi="Arial" w:cs="Arial"/>
          <w:sz w:val="20"/>
          <w:szCs w:val="20"/>
        </w:rPr>
        <w:t>ere]</w:t>
      </w:r>
    </w:p>
    <w:p w14:paraId="46FF764A" w14:textId="5693C02E" w:rsidR="00184E6B" w:rsidRDefault="00184E6B" w:rsidP="00184E6B">
      <w:pPr>
        <w:rPr>
          <w:rFonts w:ascii="Arial" w:hAnsi="Arial" w:cs="Arial"/>
          <w:sz w:val="20"/>
          <w:szCs w:val="20"/>
        </w:rPr>
      </w:pPr>
    </w:p>
    <w:sectPr w:rsidR="00184E6B" w:rsidSect="00CD5692">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10C837" w14:textId="77777777" w:rsidR="008B0086" w:rsidRDefault="008B0086" w:rsidP="001B13EC">
      <w:pPr>
        <w:spacing w:after="0" w:line="240" w:lineRule="auto"/>
      </w:pPr>
      <w:r>
        <w:separator/>
      </w:r>
    </w:p>
  </w:endnote>
  <w:endnote w:type="continuationSeparator" w:id="0">
    <w:p w14:paraId="657E85B8" w14:textId="77777777" w:rsidR="008B0086" w:rsidRDefault="008B0086" w:rsidP="001B13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78B27C" w14:textId="77777777" w:rsidR="008B0086" w:rsidRDefault="008B0086" w:rsidP="001B13EC">
      <w:pPr>
        <w:spacing w:after="0" w:line="240" w:lineRule="auto"/>
      </w:pPr>
      <w:r>
        <w:separator/>
      </w:r>
    </w:p>
  </w:footnote>
  <w:footnote w:type="continuationSeparator" w:id="0">
    <w:p w14:paraId="2580E31E" w14:textId="77777777" w:rsidR="008B0086" w:rsidRDefault="008B0086" w:rsidP="001B13E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F98645" w14:textId="77777777" w:rsidR="00C461A1" w:rsidRPr="00C461A1" w:rsidRDefault="00C461A1" w:rsidP="00C461A1">
    <w:pPr>
      <w:pStyle w:val="Header"/>
      <w:rPr>
        <w:b/>
        <w:bCs/>
      </w:rPr>
    </w:pPr>
    <w:r w:rsidRPr="00C461A1">
      <w:rPr>
        <w:b/>
        <w:bCs/>
      </w:rPr>
      <w:t>KPMG Advisory Task 3 – Part 2 Worksheet</w:t>
    </w:r>
  </w:p>
  <w:p w14:paraId="408F0DB0" w14:textId="77777777" w:rsidR="00C461A1" w:rsidRDefault="00C461A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3026C"/>
    <w:multiLevelType w:val="multilevel"/>
    <w:tmpl w:val="4F56EE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FF7B1A"/>
    <w:multiLevelType w:val="multilevel"/>
    <w:tmpl w:val="D786A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206A1F"/>
    <w:multiLevelType w:val="multilevel"/>
    <w:tmpl w:val="E7460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290EBE"/>
    <w:multiLevelType w:val="multilevel"/>
    <w:tmpl w:val="A2A28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1C5EE9"/>
    <w:multiLevelType w:val="multilevel"/>
    <w:tmpl w:val="957075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27F174B"/>
    <w:multiLevelType w:val="multilevel"/>
    <w:tmpl w:val="7C1CD4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DDF6F76"/>
    <w:multiLevelType w:val="multilevel"/>
    <w:tmpl w:val="C28E44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01932502">
    <w:abstractNumId w:val="6"/>
  </w:num>
  <w:num w:numId="2" w16cid:durableId="259071241">
    <w:abstractNumId w:val="4"/>
  </w:num>
  <w:num w:numId="3" w16cid:durableId="1316759523">
    <w:abstractNumId w:val="2"/>
  </w:num>
  <w:num w:numId="4" w16cid:durableId="840851573">
    <w:abstractNumId w:val="0"/>
  </w:num>
  <w:num w:numId="5" w16cid:durableId="1942956423">
    <w:abstractNumId w:val="3"/>
  </w:num>
  <w:num w:numId="6" w16cid:durableId="1425959510">
    <w:abstractNumId w:val="5"/>
  </w:num>
  <w:num w:numId="7" w16cid:durableId="153341550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13EC"/>
    <w:rsid w:val="000E1087"/>
    <w:rsid w:val="001302F6"/>
    <w:rsid w:val="00184E6B"/>
    <w:rsid w:val="001B13EC"/>
    <w:rsid w:val="002401A9"/>
    <w:rsid w:val="002D6F99"/>
    <w:rsid w:val="0039037D"/>
    <w:rsid w:val="003E01A6"/>
    <w:rsid w:val="003E2186"/>
    <w:rsid w:val="007D5CD7"/>
    <w:rsid w:val="008B0086"/>
    <w:rsid w:val="008C31C3"/>
    <w:rsid w:val="009B3B3F"/>
    <w:rsid w:val="009D6A42"/>
    <w:rsid w:val="00A272B7"/>
    <w:rsid w:val="00B81939"/>
    <w:rsid w:val="00C461A1"/>
    <w:rsid w:val="00CD5692"/>
    <w:rsid w:val="00DA3339"/>
    <w:rsid w:val="00DB5E9B"/>
    <w:rsid w:val="00E66D57"/>
    <w:rsid w:val="00EC1E26"/>
    <w:rsid w:val="00EC72E9"/>
    <w:rsid w:val="00F078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7CDE3F8"/>
  <w15:chartTrackingRefBased/>
  <w15:docId w15:val="{60332412-8701-484E-AB8B-601B34EA3E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13EC"/>
  </w:style>
  <w:style w:type="paragraph" w:styleId="Heading1">
    <w:name w:val="heading 1"/>
    <w:basedOn w:val="Normal"/>
    <w:next w:val="Normal"/>
    <w:link w:val="Heading1Char"/>
    <w:uiPriority w:val="9"/>
    <w:qFormat/>
    <w:rsid w:val="001B13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B13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B13E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B13E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B13E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B13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13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13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13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13E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B13E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B13E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B13E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B13E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B13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13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13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13EC"/>
    <w:rPr>
      <w:rFonts w:eastAsiaTheme="majorEastAsia" w:cstheme="majorBidi"/>
      <w:color w:val="272727" w:themeColor="text1" w:themeTint="D8"/>
    </w:rPr>
  </w:style>
  <w:style w:type="paragraph" w:styleId="Title">
    <w:name w:val="Title"/>
    <w:basedOn w:val="Normal"/>
    <w:next w:val="Normal"/>
    <w:link w:val="TitleChar"/>
    <w:uiPriority w:val="10"/>
    <w:qFormat/>
    <w:rsid w:val="001B13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13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13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13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13EC"/>
    <w:pPr>
      <w:spacing w:before="160"/>
      <w:jc w:val="center"/>
    </w:pPr>
    <w:rPr>
      <w:i/>
      <w:iCs/>
      <w:color w:val="404040" w:themeColor="text1" w:themeTint="BF"/>
    </w:rPr>
  </w:style>
  <w:style w:type="character" w:customStyle="1" w:styleId="QuoteChar">
    <w:name w:val="Quote Char"/>
    <w:basedOn w:val="DefaultParagraphFont"/>
    <w:link w:val="Quote"/>
    <w:uiPriority w:val="29"/>
    <w:rsid w:val="001B13EC"/>
    <w:rPr>
      <w:i/>
      <w:iCs/>
      <w:color w:val="404040" w:themeColor="text1" w:themeTint="BF"/>
    </w:rPr>
  </w:style>
  <w:style w:type="paragraph" w:styleId="ListParagraph">
    <w:name w:val="List Paragraph"/>
    <w:basedOn w:val="Normal"/>
    <w:uiPriority w:val="34"/>
    <w:qFormat/>
    <w:rsid w:val="001B13EC"/>
    <w:pPr>
      <w:ind w:left="720"/>
      <w:contextualSpacing/>
    </w:pPr>
  </w:style>
  <w:style w:type="character" w:styleId="IntenseEmphasis">
    <w:name w:val="Intense Emphasis"/>
    <w:basedOn w:val="DefaultParagraphFont"/>
    <w:uiPriority w:val="21"/>
    <w:qFormat/>
    <w:rsid w:val="001B13EC"/>
    <w:rPr>
      <w:i/>
      <w:iCs/>
      <w:color w:val="0F4761" w:themeColor="accent1" w:themeShade="BF"/>
    </w:rPr>
  </w:style>
  <w:style w:type="paragraph" w:styleId="IntenseQuote">
    <w:name w:val="Intense Quote"/>
    <w:basedOn w:val="Normal"/>
    <w:next w:val="Normal"/>
    <w:link w:val="IntenseQuoteChar"/>
    <w:uiPriority w:val="30"/>
    <w:qFormat/>
    <w:rsid w:val="001B13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B13EC"/>
    <w:rPr>
      <w:i/>
      <w:iCs/>
      <w:color w:val="0F4761" w:themeColor="accent1" w:themeShade="BF"/>
    </w:rPr>
  </w:style>
  <w:style w:type="character" w:styleId="IntenseReference">
    <w:name w:val="Intense Reference"/>
    <w:basedOn w:val="DefaultParagraphFont"/>
    <w:uiPriority w:val="32"/>
    <w:qFormat/>
    <w:rsid w:val="001B13EC"/>
    <w:rPr>
      <w:b/>
      <w:bCs/>
      <w:smallCaps/>
      <w:color w:val="0F4761" w:themeColor="accent1" w:themeShade="BF"/>
      <w:spacing w:val="5"/>
    </w:rPr>
  </w:style>
  <w:style w:type="paragraph" w:styleId="Header">
    <w:name w:val="header"/>
    <w:basedOn w:val="Normal"/>
    <w:link w:val="HeaderChar"/>
    <w:uiPriority w:val="99"/>
    <w:unhideWhenUsed/>
    <w:rsid w:val="001B13EC"/>
    <w:pPr>
      <w:tabs>
        <w:tab w:val="center" w:pos="4680"/>
        <w:tab w:val="right" w:pos="9360"/>
      </w:tabs>
      <w:spacing w:after="0" w:line="240" w:lineRule="auto"/>
    </w:pPr>
  </w:style>
  <w:style w:type="character" w:customStyle="1" w:styleId="HeaderChar">
    <w:name w:val="Header Char"/>
    <w:basedOn w:val="DefaultParagraphFont"/>
    <w:link w:val="Header"/>
    <w:uiPriority w:val="99"/>
    <w:rsid w:val="001B13EC"/>
  </w:style>
  <w:style w:type="paragraph" w:styleId="Footer">
    <w:name w:val="footer"/>
    <w:basedOn w:val="Normal"/>
    <w:link w:val="FooterChar"/>
    <w:uiPriority w:val="99"/>
    <w:unhideWhenUsed/>
    <w:rsid w:val="001B13EC"/>
    <w:pPr>
      <w:tabs>
        <w:tab w:val="center" w:pos="4680"/>
        <w:tab w:val="right" w:pos="9360"/>
      </w:tabs>
      <w:spacing w:after="0" w:line="240" w:lineRule="auto"/>
    </w:pPr>
  </w:style>
  <w:style w:type="character" w:customStyle="1" w:styleId="FooterChar">
    <w:name w:val="Footer Char"/>
    <w:basedOn w:val="DefaultParagraphFont"/>
    <w:link w:val="Footer"/>
    <w:uiPriority w:val="99"/>
    <w:rsid w:val="001B13EC"/>
  </w:style>
  <w:style w:type="table" w:styleId="TableGrid">
    <w:name w:val="Table Grid"/>
    <w:basedOn w:val="TableNormal"/>
    <w:uiPriority w:val="39"/>
    <w:rsid w:val="001B13E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uiPriority w:val="22"/>
    <w:qFormat/>
    <w:rsid w:val="00184E6B"/>
    <w:rPr>
      <w:b/>
      <w:bCs/>
      <w:spacing w:val="0"/>
    </w:rPr>
  </w:style>
  <w:style w:type="character" w:styleId="CommentReference">
    <w:name w:val="annotation reference"/>
    <w:basedOn w:val="DefaultParagraphFont"/>
    <w:uiPriority w:val="99"/>
    <w:semiHidden/>
    <w:unhideWhenUsed/>
    <w:rsid w:val="00184E6B"/>
    <w:rPr>
      <w:sz w:val="16"/>
      <w:szCs w:val="16"/>
    </w:rPr>
  </w:style>
  <w:style w:type="paragraph" w:styleId="CommentText">
    <w:name w:val="annotation text"/>
    <w:basedOn w:val="Normal"/>
    <w:link w:val="CommentTextChar"/>
    <w:uiPriority w:val="99"/>
    <w:unhideWhenUsed/>
    <w:rsid w:val="00184E6B"/>
    <w:pPr>
      <w:spacing w:after="0" w:line="240" w:lineRule="auto"/>
    </w:pPr>
    <w:rPr>
      <w:rFonts w:ascii="Times New Roman" w:eastAsia="Times New Roman" w:hAnsi="Times New Roman" w:cs="Times New Roman"/>
      <w:kern w:val="0"/>
      <w:sz w:val="20"/>
      <w:szCs w:val="20"/>
      <w:lang w:val="en-GB" w:eastAsia="en-GB"/>
      <w14:ligatures w14:val="none"/>
    </w:rPr>
  </w:style>
  <w:style w:type="character" w:customStyle="1" w:styleId="CommentTextChar">
    <w:name w:val="Comment Text Char"/>
    <w:basedOn w:val="DefaultParagraphFont"/>
    <w:link w:val="CommentText"/>
    <w:uiPriority w:val="99"/>
    <w:rsid w:val="00184E6B"/>
    <w:rPr>
      <w:rFonts w:ascii="Times New Roman" w:eastAsia="Times New Roman" w:hAnsi="Times New Roman" w:cs="Times New Roman"/>
      <w:kern w:val="0"/>
      <w:sz w:val="20"/>
      <w:szCs w:val="20"/>
      <w:lang w:val="en-GB"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358</Words>
  <Characters>2041</Characters>
  <Application>Microsoft Office Word</Application>
  <DocSecurity>0</DocSecurity>
  <Lines>64</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Lancaster, Devon</dc:creator>
  <cp:keywords/>
  <dc:description/>
  <cp:lastModifiedBy>Lancaster, Devon</cp:lastModifiedBy>
  <cp:revision>2</cp:revision>
  <cp:lastPrinted>2025-04-07T13:55:00Z</cp:lastPrinted>
  <dcterms:created xsi:type="dcterms:W3CDTF">2025-04-07T13:55:00Z</dcterms:created>
  <dcterms:modified xsi:type="dcterms:W3CDTF">2025-04-07T13:55:00Z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eeb60f53-3539-4543-80a9-17d6786149c1</vt:lpwstr>
  </property>
</Properties>
</file>