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jc w:val="center"/>
      </w:pPr>
      <w:r>
        <w:rPr>
          <w:rFonts w:ascii="Arial" w:cs="Arial" w:eastAsia="Arial" w:hAnsi="Arial"/>
          <w:b/>
          <w:bCs/>
          <w:color w:val="1F4E79"/>
          <w:sz w:val="40"/>
          <w:szCs w:val="40"/>
        </w:rPr>
        <w:t xml:space="preserve">FINANCIAL HEALTH ANALYSIS REPORT</w:t>
      </w:r>
    </w:p>
    <w:p>
      <w:pPr>
        <w:spacing w:after="100"/>
        <w:jc w:val="center"/>
      </w:pPr>
      <w:r>
        <w:rPr>
          <w:rFonts w:ascii="Arial" w:cs="Arial" w:eastAsia="Arial" w:hAnsi="Arial"/>
          <w:b/>
          <w:bCs/>
          <w:color w:val="2E75B6"/>
          <w:sz w:val="28"/>
          <w:szCs w:val="28"/>
        </w:rPr>
        <w:t xml:space="preserve">Green Solutions Manufacturing Ltd</w:t>
      </w:r>
    </w:p>
    <w:p>
      <w:pPr>
        <w:spacing w:after="400"/>
        <w:jc w:val="center"/>
      </w:pPr>
      <w:r>
        <w:rPr>
          <w:rFonts w:ascii="Arial" w:cs="Arial" w:eastAsia="Arial" w:hAnsi="Arial"/>
          <w:i/>
          <w:iCs/>
          <w:color w:val="666666"/>
          <w:sz w:val="20"/>
          <w:szCs w:val="20"/>
        </w:rPr>
        <w:t xml:space="preserve">Years Ended 31 December 2023 (FY2023) and 31 December 2022 (FY2022)</w:t>
      </w:r>
    </w:p>
    <w:p>
      <w:pPr>
        <w:pStyle w:val="Heading1"/>
      </w:pPr>
      <w:r>
        <w:t xml:space="preserve">1. Executive Summary</w:t>
      </w:r>
    </w:p>
    <w:p>
      <w:pPr>
        <w:spacing w:after="120"/>
      </w:pPr>
      <w:r>
        <w:rPr>
          <w:rFonts w:ascii="Arial" w:cs="Arial" w:eastAsia="Arial" w:hAnsi="Arial"/>
          <w:sz w:val="20"/>
          <w:szCs w:val="20"/>
        </w:rPr>
        <w:t xml:space="preserve">Green Solutions Manufacturing Ltd has delivered a transformative financial performance in FY2023, transitioning from a high-leverage, low-margin position to a robust, cash-generative, and highly profitable enterprise. Revenue grew 70.7% to £53.8 million, with operating margins expanding 5.8 percentage points to 12.1% and PAT surging 554% to £5.64 million. The company has successfully deleveraged (Debt/EBITDA from 7.8x to 1.2x) and now holds a net cash position of £10.7 million, providing substantial financial flexibility.</w:t>
      </w:r>
    </w:p>
    <w:p>
      <w:pPr>
        <w:spacing w:after="120"/>
      </w:pPr>
      <w:r>
        <w:rPr>
          <w:rFonts w:ascii="Arial" w:cs="Arial" w:eastAsia="Arial" w:hAnsi="Arial"/>
          <w:sz w:val="20"/>
          <w:szCs w:val="20"/>
        </w:rPr>
        <w:t xml:space="preserve">While liquidity ratios have tightened (Current Ratio 1.88x → 1.38x; Quick Ratio ~1.49x → 1.00x) due to aggressive growth in working capital, the overall financial health is strong. Key risks centre on working-capital discipline and execution of growth capex, both of which are manageable given the strengthened balance sheet and cash-generation capability.</w:t>
      </w:r>
    </w:p>
    <w:p>
      <w:pPr>
        <w:pStyle w:val="Heading1"/>
      </w:pPr>
      <w:r>
        <w:t xml:space="preserve">2. Financial Performance Review</w:t>
      </w:r>
    </w:p>
    <w:p>
      <w:pPr>
        <w:pStyle w:val="Heading2"/>
      </w:pPr>
      <w:r>
        <w:t xml:space="preserve">2.1 Revenue &amp; Profitability</w:t>
      </w:r>
    </w:p>
    <w:p>
      <w:pPr>
        <w:spacing w:after="120"/>
      </w:pPr>
      <w:r>
        <w:rPr>
          <w:rFonts w:ascii="Arial" w:cs="Arial" w:eastAsia="Arial" w:hAnsi="Arial"/>
          <w:sz w:val="20"/>
          <w:szCs w:val="20"/>
        </w:rPr>
        <w:t xml:space="preserve">FY2023 revenue reached £53.8 million (+70.7% YoY), driven by strong demand for green manufacturing solutions and successful market expansion. Gross margin improved to 25.3% (FY2022: 21.0%), reflecting better pricing power and operational efficiencies. Operating profit rose 227% to £6.52 million, with operating margin expanding from 6.3% to 12.1%. EBITDA more than tripled to £5.52 million, with margin reaching 10.3% (FY2022: 4.7%).</w:t>
      </w:r>
    </w:p>
    <w:p>
      <w:pPr>
        <w:spacing w:after="120"/>
      </w:pPr>
      <w:r>
        <w:rPr>
          <w:rFonts w:ascii="Arial" w:cs="Arial" w:eastAsia="Arial" w:hAnsi="Arial"/>
          <w:sz w:val="20"/>
          <w:szCs w:val="20"/>
        </w:rPr>
        <w:t xml:space="preserve">Profit before tax increased 449% to £6.34 million and profit after tax reached £5.64 million (effective tax rate ~11%). Retained earnings turned positive (£0.33 million) from a £5.4 million deficit, signalling a clear turnaround in shareholder value creation.</w:t>
      </w:r>
    </w:p>
    <w:p>
      <w:pPr>
        <w:pStyle w:val="Heading2"/>
      </w:pPr>
      <w:r>
        <w:t xml:space="preserve">2.2 Key Performance Metrics (£ million)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160"/>
        <w:gridCol w:w="2160"/>
        <w:gridCol w:w="2160"/>
      </w:tblGrid>
      <w:tr>
        <w:tc>
          <w:tcPr>
            <w:tcW w:type="dxa" w:w="3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Metric</w:t>
            </w:r>
          </w:p>
        </w:tc>
        <w:tc>
          <w:tcPr>
            <w:tcW w:type="dxa" w:w="2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FY2022</w:t>
            </w:r>
          </w:p>
        </w:tc>
        <w:tc>
          <w:tcPr>
            <w:tcW w:type="dxa" w:w="2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FY2023</w:t>
            </w:r>
          </w:p>
        </w:tc>
        <w:tc>
          <w:tcPr>
            <w:tcW w:type="dxa" w:w="2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Change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color w:val="333333"/>
                <w:sz w:val="18"/>
                <w:szCs w:val="18"/>
              </w:rPr>
              <w:t xml:space="preserve">Revenue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31.54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53.82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bCs/>
                <w:color w:val="333333"/>
                <w:sz w:val="18"/>
                <w:szCs w:val="18"/>
              </w:rPr>
              <w:t xml:space="preserve">+70.7%</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Gross Profit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6.63</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13.61</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+105%</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Operating Profit</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1.99</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6.52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+227%</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EBITDA</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1.49</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5.52</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+270%</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Profit Before Tax</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1.15</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6.34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+449%</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Profit After Tax</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0.86</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5.64</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right"/>
            </w:pPr>
            <w:r>
              <w:rPr>
                <w:rFonts w:ascii="Arial" w:cs="Arial" w:eastAsia="Arial" w:hAnsi="Arial"/>
                <w:b w:val="false"/>
                <w:bCs w:val="false"/>
                <w:color w:val="333333"/>
                <w:sz w:val="18"/>
                <w:szCs w:val="18"/>
              </w:rPr>
              <w:t xml:space="preserve">+554%</w:t>
            </w:r>
          </w:p>
        </w:tc>
      </w:tr>
    </w:tbl>
    <w:p>
      <w:pPr>
        <w:pStyle w:val="Heading1"/>
      </w:pPr>
      <w:r>
        <w:t xml:space="preserve">3. Financial Position &amp; Balance Sheet</w:t>
      </w:r>
    </w:p>
    <w:p>
      <w:pPr>
        <w:spacing w:after="120" w:before="120"/>
      </w:pPr>
      <w:r>
        <w:rPr>
          <w:rFonts w:ascii="Arial" w:cs="Arial" w:eastAsia="Arial" w:hAnsi="Arial"/>
          <w:sz w:val="20"/>
          <w:szCs w:val="20"/>
        </w:rPr>
        <w:t xml:space="preserve">Total assets grew 19% to £62.1 million, funded by a combination of operating cash flow and prior equity issuance. Non-current assets increased 38% to £35.0 million, reflecting strategic investment in property, plant &amp; equipment (£18.9 million) and new digital assets (£1.3 million). Tangible assets represent 99% of the total asset base, minimising impairment risk.</w:t>
      </w:r>
    </w:p>
    <w:p>
      <w:pPr>
        <w:spacing w:after="120"/>
      </w:pPr>
      <w:r>
        <w:rPr>
          <w:rFonts w:ascii="Arial" w:cs="Arial" w:eastAsia="Arial" w:hAnsi="Arial"/>
          <w:sz w:val="20"/>
          <w:szCs w:val="20"/>
        </w:rPr>
        <w:t xml:space="preserve">Total liabilities rose modestly (+7.5%) to £30.5 million, while equity (including redeemable NCI) grew 33% to £31.6 million. The company has materially improved its capital structure: long-term debt fell 45% to £5.2 million. Net worth (tangible) stands at £31.1 million, providing a strong equity cushion.</w:t>
      </w:r>
    </w:p>
    <w:p>
      <w:pPr>
        <w:pStyle w:val="Heading1"/>
      </w:pPr>
      <w:r>
        <w:t xml:space="preserve">4. Cash Flow &amp; Liquidity</w:t>
      </w:r>
    </w:p>
    <w:p>
      <w:pPr>
        <w:spacing w:after="120"/>
      </w:pPr>
      <w:r>
        <w:rPr>
          <w:rFonts w:ascii="Arial" w:cs="Arial" w:eastAsia="Arial" w:hAnsi="Arial"/>
          <w:sz w:val="20"/>
          <w:szCs w:val="20"/>
        </w:rPr>
        <w:t xml:space="preserve">Operating cash flow nearly doubled to £11.4 million, demonstrating excellent profit-to-cash conversion. Capital expenditure of £8.0 million (primarily PPE and digital assets) resulted in negative free cash flow of £8.0 million; however, this is a deliberate growth investment phase fully supported by the £17.6 million cash balance and prior fundraising. The company ended the year with net cash of £10.7 million (cash minus total debt).</w:t>
      </w:r>
    </w:p>
    <w:p>
      <w:pPr>
        <w:pStyle w:val="Heading1"/>
      </w:pPr>
      <w:r>
        <w:t xml:space="preserve">5. Key Ratio Analysis</w:t>
      </w:r>
    </w:p>
    <w:p>
      <w:pPr>
        <w:spacing w:after="120"/>
      </w:pPr>
      <w:r>
        <w:rPr>
          <w:rFonts w:ascii="Arial" w:cs="Arial" w:eastAsia="Arial" w:hAnsi="Arial"/>
          <w:sz w:val="20"/>
          <w:szCs w:val="20"/>
        </w:rPr>
        <w:t xml:space="preserve">The following table summarises the key ratios calculated in accordance with the Accounting Ratios Workbook definitions. All ratios show material improvement except liquidity metrics, which have tightened due to working-capital expansion required to support rapid revenue growth.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1600"/>
        <w:gridCol w:w="2080"/>
      </w:tblGrid>
      <w:tr>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left"/>
            </w:pPr>
            <w:r>
              <w:rPr>
                <w:rFonts w:ascii="Arial" w:cs="Arial" w:eastAsia="Arial" w:hAnsi="Arial"/>
                <w:b/>
                <w:bCs/>
                <w:color w:val="FFFFFF"/>
                <w:sz w:val="20"/>
                <w:szCs w:val="20"/>
              </w:rPr>
              <w:t xml:space="preserve">Ratio</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FY2022</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FY2023</w:t>
            </w:r>
          </w:p>
        </w:tc>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Movement</w:t>
            </w:r>
          </w:p>
        </w:tc>
        <w:tc>
          <w:tcPr>
            <w:tcW w:type="dxa" w:w="208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Assessment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EBITDA Margin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4.7%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+5.6 pp</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Strong ↑</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Operating Margin</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6.3%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+5.8 pp</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Strong ↑</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Current Ratio (x)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1.38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-0.50</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Adequate ↓</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Quick Ratio (x)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1.49</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1.00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-0.49</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Tight ↓</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Debt / EBITDA (x)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7.82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1.24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-6.58</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Excellent ↑</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Net Leverage (x)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-5.15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-1.94</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+3.21</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Net Cash ↑</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EBITDA Interest Cover (x)</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2.08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17.53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+15.45</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Very Safe ↑</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ROA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1.65%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9.08%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+7.43 pp</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Strong ↑</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333333"/>
                <w:sz w:val="18"/>
                <w:szCs w:val="18"/>
              </w:rPr>
              <w:t xml:space="preserve">ROE (%)</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18.1%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color w:val="333333"/>
                <w:sz w:val="18"/>
                <w:szCs w:val="18"/>
              </w:rPr>
              <w:t xml:space="preserve">+14.4 pp</w:t>
            </w:r>
          </w:p>
        </w:tc>
        <w:tc>
          <w:tcPr>
            <w:tcW w:type="dxa" w:w="20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color w:val="333333"/>
                <w:sz w:val="18"/>
                <w:szCs w:val="18"/>
              </w:rPr>
              <w:t xml:space="preserve">Excellent ↑</w:t>
            </w:r>
          </w:p>
        </w:tc>
      </w:tr>
    </w:tbl>
    <w:p>
      <w:pPr>
        <w:pStyle w:val="Heading1"/>
      </w:pPr>
      <w:r>
        <w:t xml:space="preserve">6. Key Financial Risks &amp; Mitigants</w:t>
      </w:r>
    </w:p>
    <w:p>
      <w:pPr>
        <w:pStyle w:val="Heading3"/>
      </w:pPr>
      <w:r>
        <w:t xml:space="preserve">1. Liquidity &amp; Working-Capital Tightening (Material Risk)</w:t>
      </w:r>
    </w:p>
    <w:p>
      <w:pPr>
        <w:pStyle w:val="ListParagraph"/>
        <w:numPr>
          <w:ilvl w:val="0"/>
          <w:numId w:val="2"/>
        </w:numPr>
      </w:pPr>
      <w:r>
        <w:rPr>
          <w:rFonts w:ascii="Arial" w:cs="Arial" w:eastAsia="Arial" w:hAnsi="Arial"/>
          <w:sz w:val="20"/>
          <w:szCs w:val="20"/>
        </w:rPr>
        <w:t xml:space="preserve">Current Ratio declined to 1.38x and Quick Ratio to 1.00x. Inventory (+40%) and Accounts Payable (+66%) have grown faster than revenue in some areas, indicating potential working-capital strain.</w:t>
      </w:r>
    </w:p>
    <w:p>
      <w:pPr>
        <w:pStyle w:val="ListParagraph"/>
        <w:numPr>
          <w:ilvl w:val="0"/>
          <w:numId w:val="3"/>
        </w:numPr>
      </w:pPr>
      <w:r>
        <w:rPr>
          <w:rFonts w:ascii="Arial" w:cs="Arial" w:eastAsia="Arial" w:hAnsi="Arial"/>
          <w:sz w:val="20"/>
          <w:szCs w:val="20"/>
        </w:rPr>
        <w:t xml:space="preserve">Mitigant: £17.6 million cash buffer and £11.4 million operating cash flow provide ample headroom. Recommend implementing formal DSO/DIO/DPO KPIs and weekly cash-forecasting.</w:t>
      </w:r>
    </w:p>
    <w:p>
      <w:pPr>
        <w:pStyle w:val="Heading3"/>
      </w:pPr>
      <w:r>
        <w:t xml:space="preserve">2. Negative Free Cash Flow &amp; Capex Execution (Elevated Risk)</w:t>
      </w:r>
    </w:p>
    <w:p>
      <w:pPr>
        <w:pStyle w:val="ListParagraph"/>
        <w:numPr>
          <w:ilvl w:val="0"/>
          <w:numId w:val="2"/>
        </w:numPr>
      </w:pPr>
      <w:r>
        <w:rPr>
          <w:rFonts w:ascii="Arial" w:cs="Arial" w:eastAsia="Arial" w:hAnsi="Arial"/>
          <w:sz w:val="20"/>
          <w:szCs w:val="20"/>
        </w:rPr>
        <w:t xml:space="preserve">Free cash flow of -£8.0 million reflects heavy investment in PPE and digital assets. Execution or ROI risk exists if new capacity utilisation lags or digital-asset returns are delayed.</w:t>
      </w:r>
    </w:p>
    <w:p>
      <w:pPr>
        <w:pStyle w:val="ListParagraph"/>
        <w:numPr>
          <w:ilvl w:val="0"/>
          <w:numId w:val="3"/>
        </w:numPr>
      </w:pPr>
      <w:r>
        <w:rPr>
          <w:rFonts w:ascii="Arial" w:cs="Arial" w:eastAsia="Arial" w:hAnsi="Arial"/>
          <w:sz w:val="20"/>
          <w:szCs w:val="20"/>
        </w:rPr>
        <w:t xml:space="preserve">Mitigant: Net cash position of £10.7 million and improving profitability trajectory make the burn sustainable in the short term. Board-level review of capex payback periods is advised.</w:t>
      </w:r>
    </w:p>
    <w:p>
      <w:pPr>
        <w:pStyle w:val="Heading3"/>
      </w:pPr>
      <w:r>
        <w:t xml:space="preserve">3. Rapid Scaling &amp; Operational Strain (Moderate Risk)</w:t>
      </w:r>
    </w:p>
    <w:p>
      <w:pPr>
        <w:pStyle w:val="ListParagraph"/>
        <w:numPr>
          <w:ilvl w:val="0"/>
          <w:numId w:val="2"/>
        </w:numPr>
      </w:pPr>
      <w:r>
        <w:rPr>
          <w:rFonts w:ascii="Arial" w:cs="Arial" w:eastAsia="Arial" w:hAnsi="Arial"/>
          <w:sz w:val="20"/>
          <w:szCs w:val="20"/>
        </w:rPr>
        <w:t xml:space="preserve">Headcount, asset base and supplier commitments have expanded rapidly. Supply-chain concentration (AP surge) and integration of new digital assets introduce operational and control risks.</w:t>
      </w:r>
    </w:p>
    <w:p>
      <w:pPr>
        <w:pStyle w:val="ListParagraph"/>
        <w:numPr>
          <w:ilvl w:val="0"/>
          <w:numId w:val="3"/>
        </w:numPr>
      </w:pPr>
      <w:r>
        <w:rPr>
          <w:rFonts w:ascii="Arial" w:cs="Arial" w:eastAsia="Arial" w:hAnsi="Arial"/>
          <w:sz w:val="20"/>
          <w:szCs w:val="20"/>
        </w:rPr>
        <w:t xml:space="preserve">Mitigant: Strong governance framework implied by clean audit history and conservative accounting (minimal intangibles/goodwill). External review of internal controls recommended during growth phase.</w:t>
      </w:r>
    </w:p>
    <w:p>
      <w:pPr>
        <w:pStyle w:val="Heading3"/>
      </w:pPr>
      <w:r>
        <w:t xml:space="preserve">4. Sector &amp; External Factors (Low–Moderate Risk)</w:t>
      </w:r>
    </w:p>
    <w:p>
      <w:pPr>
        <w:pStyle w:val="ListParagraph"/>
        <w:numPr>
          <w:ilvl w:val="0"/>
          <w:numId w:val="2"/>
        </w:numPr>
      </w:pPr>
      <w:r>
        <w:rPr>
          <w:rFonts w:ascii="Arial" w:cs="Arial" w:eastAsia="Arial" w:hAnsi="Arial"/>
          <w:sz w:val="20"/>
          <w:szCs w:val="20"/>
        </w:rPr>
        <w:t xml:space="preserve">Exposure to green-tech policy changes, raw-material price volatility (solar components, batteries) and competitive intensity remains. Historical low interest cover (2.1x in FY2022) indicates past vulnerability, though now fully resolved.</w:t>
      </w:r>
    </w:p>
    <w:p>
      <w:pPr>
        <w:pStyle w:val="ListParagraph"/>
        <w:numPr>
          <w:ilvl w:val="0"/>
          <w:numId w:val="3"/>
        </w:numPr>
      </w:pPr>
      <w:r>
        <w:rPr>
          <w:rFonts w:ascii="Arial" w:cs="Arial" w:eastAsia="Arial" w:hAnsi="Arial"/>
          <w:sz w:val="20"/>
          <w:szCs w:val="20"/>
        </w:rPr>
        <w:t xml:space="preserve">Mitigant: Net-cash, low-leverage balance sheet and 17.5x interest cover provide significant resilience to external shocks.</w:t>
      </w:r>
    </w:p>
    <w:p>
      <w:pPr>
        <w:pStyle w:val="Heading1"/>
      </w:pPr>
      <w:r>
        <w:t xml:space="preserve">7. Overall Assessment &amp; Recommendations</w:t>
      </w:r>
    </w:p>
    <w:p>
      <w:pPr>
        <w:spacing w:after="120"/>
      </w:pPr>
      <w:r>
        <w:rPr>
          <w:rFonts w:ascii="Arial" w:cs="Arial" w:eastAsia="Arial" w:hAnsi="Arial"/>
          <w:sz w:val="20"/>
          <w:szCs w:val="20"/>
        </w:rPr>
        <w:t xml:space="preserve">Green Solutions Manufacturing Ltd has achieved a step-change in financial health. The company is no longer a leveraged, cash-burning entity but a profitable, cash-generative business with a conservative capital structure and attractive returns on equity (18.1%) and assets (9.1%). Liquidity risk is the primary near-term concern but is well within manageable bounds given the £17.6 million cash reserve and strong operating cash flow.</w:t>
      </w:r>
    </w:p>
    <w:p>
      <w:pPr>
        <w:spacing w:after="80"/>
      </w:pPr>
      <w:r>
        <w:rPr>
          <w:rFonts w:ascii="Arial" w:cs="Arial" w:eastAsia="Arial" w:hAnsi="Arial"/>
          <w:b/>
          <w:bCs/>
          <w:sz w:val="20"/>
          <w:szCs w:val="20"/>
        </w:rPr>
        <w:t xml:space="preserve">Recommended Actions:</w:t>
      </w:r>
    </w:p>
    <w:p>
      <w:pPr>
        <w:pStyle w:val="ListParagraph"/>
        <w:numPr>
          <w:ilvl w:val="0"/>
          <w:numId w:val="4"/>
        </w:numPr>
      </w:pPr>
      <w:r>
        <w:rPr>
          <w:rFonts w:ascii="Arial" w:cs="Arial" w:eastAsia="Arial" w:hAnsi="Arial"/>
          <w:sz w:val="20"/>
          <w:szCs w:val="20"/>
        </w:rPr>
        <w:t xml:space="preserve">Implement enhanced working-capital dashboards (DSO, DIO, DPO, cash-conversion cycle) with monthly Board reporting.</w:t>
      </w:r>
    </w:p>
    <w:p>
      <w:pPr>
        <w:pStyle w:val="ListParagraph"/>
        <w:numPr>
          <w:ilvl w:val="0"/>
          <w:numId w:val="4"/>
        </w:numPr>
      </w:pPr>
      <w:r>
        <w:rPr>
          <w:rFonts w:ascii="Arial" w:cs="Arial" w:eastAsia="Arial" w:hAnsi="Arial"/>
          <w:sz w:val="20"/>
          <w:szCs w:val="20"/>
        </w:rPr>
        <w:t xml:space="preserve">Commission an independent review of capex project IRRs and payback profiles before further material investment.</w:t>
      </w:r>
    </w:p>
    <w:p>
      <w:pPr>
        <w:pStyle w:val="ListParagraph"/>
        <w:numPr>
          <w:ilvl w:val="0"/>
          <w:numId w:val="4"/>
        </w:numPr>
      </w:pPr>
      <w:r>
        <w:rPr>
          <w:rFonts w:ascii="Arial" w:cs="Arial" w:eastAsia="Arial" w:hAnsi="Arial"/>
          <w:sz w:val="20"/>
          <w:szCs w:val="20"/>
        </w:rPr>
        <w:t xml:space="preserve">Stress-test liquidity under a 20–25% revenue-downside scenario to confirm covenant headroom and cash runway.</w:t>
      </w:r>
    </w:p>
    <w:p>
      <w:pPr>
        <w:pStyle w:val="ListParagraph"/>
        <w:numPr>
          <w:ilvl w:val="0"/>
          <w:numId w:val="4"/>
        </w:numPr>
      </w:pPr>
      <w:r>
        <w:rPr>
          <w:rFonts w:ascii="Arial" w:cs="Arial" w:eastAsia="Arial" w:hAnsi="Arial"/>
          <w:sz w:val="20"/>
          <w:szCs w:val="20"/>
        </w:rPr>
        <w:t xml:space="preserve">Consider modest shareholder distributions or a small acquisition once FY2024 trading confirms the sustainability of the new margin profile.</w:t>
      </w:r>
    </w:p>
    <w:p>
      <w:pPr>
        <w:spacing w:after="120" w:before="300"/>
      </w:pPr>
      <w:r>
        <w:rPr>
          <w:rFonts w:ascii="Arial" w:cs="Arial" w:eastAsia="Arial" w:hAnsi="Arial"/>
          <w:b/>
          <w:bCs/>
          <w:sz w:val="20"/>
          <w:szCs w:val="20"/>
        </w:rPr>
        <w:t xml:space="preserve">Conclusion: The financial position of Green Solutions Manufacturing Ltd is STRONG and materially improved year-on-year. With disciplined execution on working capital and capex returns, the company is well-positioned for sustainable, profitable growth in the green-technology manufacturing sector.</w:t>
      </w:r>
    </w:p>
    <w:p>
      <w:pPr>
        <w:spacing w:before="400"/>
      </w:pPr>
      <w:r>
        <w:rPr>
          <w:rFonts w:ascii="Arial" w:cs="Arial" w:eastAsia="Arial" w:hAnsi="Arial"/>
          <w:i/>
          <w:iCs/>
          <w:color w:val="666666"/>
          <w:sz w:val="16"/>
          <w:szCs w:val="16"/>
        </w:rPr>
        <w:t xml:space="preserve">Disclaimer: This analysis is based on management accounts and financial information provided by the client for the years ended 31 December 2022 and 2023. It does not constitute an audit opinion or formal valuation. All ratios are calculated in accordance with the definitions set out in the Accounting Ratios Workbook v0.1.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of </w:t>
    </w:r>
    <w:r>
      <w:rPr>
        <w:rFonts w:ascii="Arial" w:cs="Arial" w:eastAsia="Arial" w:hAnsi="Arial"/>
        <w:color w:val="666666"/>
        <w:sz w:val="16"/>
        <w:szCs w:val="16"/>
      </w:rPr>
      <w:fldChar w:fldCharType="begin"/>
      <w:instrText xml:space="preserve">NUMPAGES</w:instrText>
      <w:fldChar w:fldCharType="separate"/>
      <w:fldChar w:fldCharType="end"/>
    </w:r>
    <w:r>
      <w:rPr>
        <w:rFonts w:ascii="Arial" w:cs="Arial" w:eastAsia="Arial" w:hAnsi="Arial"/>
        <w:color w:val="666666"/>
        <w:sz w:val="16"/>
        <w:szCs w:val="16"/>
      </w:rPr>
      <w:t xml:space="preserve">  |  Prepared April 2026  |  Source: Management Accounts FY2022–FY2023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pPr>
    <w:r>
      <w:rPr>
        <w:rFonts w:ascii="Arial" w:cs="Arial" w:eastAsia="Arial" w:hAnsi="Arial"/>
        <w:b/>
        <w:bCs/>
        <w:color w:val="C00000"/>
        <w:sz w:val="18"/>
        <w:szCs w:val="18"/>
      </w:rPr>
      <w:t xml:space="preserve">CONFIDENTIAL – Client Report</w:t>
    </w:r>
    <w:r>
      <w:rPr>
        <w:rFonts w:ascii="Arial" w:cs="Arial" w:eastAsia="Arial" w:hAnsi="Arial"/>
        <w:color w:val="666666"/>
        <w:sz w:val="18"/>
        <w:szCs w:val="18"/>
      </w:rPr>
      <w:t xml:space="preserve">  |  Green Solutions Manufacturing Ltd – Financial Health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2026-04-30T09:33:44.819Z</dcterms:created>
  <dcterms:modified xsi:type="dcterms:W3CDTF">2026-04-30T09:33:44.819Z</dcterms:modified>
</cp:coreProperties>
</file>

<file path=docProps/custom.xml><?xml version="1.0" encoding="utf-8"?>
<Properties xmlns="http://schemas.openxmlformats.org/officeDocument/2006/custom-properties" xmlns:vt="http://schemas.openxmlformats.org/officeDocument/2006/docPropsVTypes"/>
</file>