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C85A0" w14:textId="77777777" w:rsidR="00DD4CA6" w:rsidRPr="00DD4CA6" w:rsidRDefault="00DD4CA6" w:rsidP="00696CC3">
      <w:pPr>
        <w:pStyle w:val="Heading1"/>
        <w:rPr>
          <w:rFonts w:eastAsia="Times New Roman"/>
          <w:lang w:eastAsia="en-GB"/>
        </w:rPr>
      </w:pPr>
      <w:r>
        <w:rPr>
          <w:rFonts w:eastAsia="Times New Roman"/>
          <w:lang w:eastAsia="en-GB"/>
        </w:rPr>
        <w:t>Preliminary Report: Financial Analysis and Risk Assessment of Green Solutions Manufacturing Ltd.</w:t>
      </w:r>
    </w:p>
    <w:p w14:paraId="14AF2AA9" w14:textId="77777777" w:rsidR="00DD4CA6" w:rsidRPr="00DD4CA6" w:rsidRDefault="00DD4CA6" w:rsidP="00696CC3">
      <w:pPr>
        <w:pStyle w:val="Heading2"/>
        <w:rPr>
          <w:rFonts w:eastAsia="Times New Roman"/>
          <w:lang w:eastAsia="en-GB"/>
        </w:rPr>
      </w:pPr>
      <w:r>
        <w:rPr>
          <w:rFonts w:eastAsia="Times New Roman"/>
          <w:lang w:eastAsia="en-GB"/>
        </w:rPr>
        <w:t>Executive Summary</w:t>
      </w:r>
    </w:p>
    <w:p w14:paraId="1F045F93" w14:textId="77777777" w:rsidR="00DD4CA6" w:rsidRPr="008F34F5" w:rsidRDefault="008F34F5" w:rsidP="00DD4CA6">
      <w:pPr>
        <w:spacing w:before="100" w:beforeAutospacing="1" w:after="100" w:afterAutospacing="1" w:line="240" w:lineRule="auto"/>
        <w:rPr>
          <w:rFonts w:ascii="Segoe UI" w:eastAsia="Times New Roman" w:hAnsi="Segoe UI" w:cs="Segoe UI"/>
          <w:color w:val="FF0000"/>
          <w:sz w:val="20"/>
          <w:szCs w:val="24"/>
          <w:lang w:eastAsia="en-GB"/>
        </w:rPr>
      </w:pPr>
      <w:r>
        <w:rPr>
          <w:rFonts w:ascii="Segoe UI" w:eastAsia="Times New Roman" w:hAnsi="Segoe UI" w:cs="Segoe UI"/>
          <w:color w:val="FF0000"/>
          <w:sz w:val="20"/>
          <w:szCs w:val="24"/>
          <w:lang w:eastAsia="en-GB"/>
        </w:rPr>
        <w:t>Green Solutions Manufacturing Ltd delivered exceptional results in FY2023, with revenue up 70.7% to £53.8 million and profit after tax surging 554% to £5.64 million. The company has transformed its balance sheet, reducing leverage (Debt/EBITDA from 7.8x to 1.2x) and achieving a net cash position of £10.7 million. Profitability metrics have improved markedly across the board (ROE 18.1%, operating margin 12.1%), although liquidity ratios have tightened due to working capital investment required to support growth. Overall, the financial health is strong with manageable risks centered on liquidity discipline and capex execution.</w:t>
      </w:r>
    </w:p>
    <w:p w14:paraId="05D35D80" w14:textId="77777777" w:rsidR="00DD4CA6" w:rsidRPr="00DD4CA6" w:rsidRDefault="00DD4CA6" w:rsidP="00696CC3">
      <w:pPr>
        <w:pStyle w:val="Heading2"/>
        <w:rPr>
          <w:rFonts w:eastAsia="Times New Roman"/>
          <w:lang w:eastAsia="en-GB"/>
        </w:rPr>
      </w:pPr>
      <w:r>
        <w:rPr>
          <w:rFonts w:eastAsia="Times New Roman"/>
          <w:lang w:eastAsia="en-GB"/>
        </w:rPr>
        <w:t>Financial Analysis</w:t>
      </w:r>
    </w:p>
    <w:p w14:paraId="3550CD65" w14:textId="41B4A01E" w:rsidR="006E3331" w:rsidRDefault="00000000">
      <w:pPr>
        <w:spacing w:before="100" w:beforeAutospacing="1" w:after="100" w:afterAutospacing="1" w:line="240" w:lineRule="auto"/>
        <w:outlineLvl w:val="3"/>
        <w:rPr>
          <w:rFonts w:ascii="Segoe UI" w:eastAsia="Times New Roman" w:hAnsi="Segoe UI" w:cs="Segoe UI"/>
          <w:b/>
          <w:bCs/>
          <w:sz w:val="20"/>
          <w:szCs w:val="24"/>
          <w:lang w:eastAsia="en-GB"/>
        </w:rPr>
      </w:pPr>
      <w:r>
        <w:rPr>
          <w:rFonts w:ascii="Segoe UI" w:eastAsia="Times New Roman" w:hAnsi="Segoe UI" w:cs="Segoe UI"/>
          <w:b/>
          <w:bCs/>
          <w:sz w:val="20"/>
          <w:szCs w:val="24"/>
          <w:lang w:eastAsia="en-GB"/>
        </w:rPr>
        <w:t>Revenue and Profitabilit</w:t>
      </w:r>
      <w:r w:rsidR="00696CC3">
        <w:rPr>
          <w:rFonts w:ascii="Segoe UI" w:eastAsia="Times New Roman" w:hAnsi="Segoe UI" w:cs="Segoe UI"/>
          <w:b/>
          <w:bCs/>
          <w:sz w:val="20"/>
          <w:szCs w:val="24"/>
          <w:lang w:eastAsia="en-GB"/>
        </w:rPr>
        <w:t>y</w:t>
      </w:r>
    </w:p>
    <w:p w14:paraId="1172601C" w14:textId="496F8074" w:rsidR="008F34F5" w:rsidRPr="00696CC3" w:rsidRDefault="00000000" w:rsidP="00696CC3">
      <w:pPr>
        <w:spacing w:before="100" w:beforeAutospacing="1" w:after="100" w:afterAutospacing="1" w:line="240" w:lineRule="auto"/>
        <w:outlineLvl w:val="3"/>
        <w:rPr>
          <w:rFonts w:ascii="Segoe UI" w:eastAsia="Times New Roman" w:hAnsi="Segoe UI" w:cs="Segoe UI"/>
          <w:sz w:val="20"/>
          <w:szCs w:val="24"/>
          <w:lang w:eastAsia="en-GB"/>
        </w:rPr>
      </w:pPr>
      <w:r w:rsidRPr="00696CC3">
        <w:rPr>
          <w:rFonts w:ascii="Segoe UI" w:eastAsia="Times New Roman" w:hAnsi="Segoe UI" w:cs="Segoe UI"/>
          <w:sz w:val="20"/>
          <w:szCs w:val="24"/>
          <w:lang w:eastAsia="en-GB"/>
        </w:rPr>
        <w:t>Revenue grew 70.7% year-on-year, driven by robust demand for green manufacturing solutions. Gross margin rose to 25.3% (+4.3pp) and operating margin expanded to 12.1% (+5.8pp), highlighting successful operating leverage as scale benefits materialise. EBITDA margin doubled to 10.3%, while PAT increased over six-fold, turning retained earnings positive for the first time.</w:t>
      </w:r>
    </w:p>
    <w:p w14:paraId="35D78445" w14:textId="559FCF03" w:rsidR="006E3331" w:rsidRDefault="00000000">
      <w:pPr>
        <w:spacing w:before="100" w:beforeAutospacing="1" w:after="100" w:afterAutospacing="1" w:line="240" w:lineRule="auto"/>
        <w:outlineLvl w:val="3"/>
        <w:rPr>
          <w:rFonts w:ascii="Segoe UI" w:eastAsia="Times New Roman" w:hAnsi="Segoe UI" w:cs="Segoe UI"/>
          <w:b/>
          <w:bCs/>
          <w:sz w:val="20"/>
          <w:szCs w:val="24"/>
          <w:lang w:eastAsia="en-GB"/>
        </w:rPr>
      </w:pPr>
      <w:r>
        <w:rPr>
          <w:rFonts w:ascii="Segoe UI" w:eastAsia="Times New Roman" w:hAnsi="Segoe UI" w:cs="Segoe UI"/>
          <w:b/>
          <w:bCs/>
          <w:sz w:val="20"/>
          <w:szCs w:val="24"/>
          <w:lang w:eastAsia="en-GB"/>
        </w:rPr>
        <w:t>Assets and Liabilities</w:t>
      </w:r>
    </w:p>
    <w:p w14:paraId="42C2A5D1" w14:textId="6ED57D01" w:rsidR="008F34F5" w:rsidRPr="00696CC3" w:rsidRDefault="00000000" w:rsidP="00696CC3">
      <w:pPr>
        <w:spacing w:before="100" w:beforeAutospacing="1" w:after="100" w:afterAutospacing="1" w:line="240" w:lineRule="auto"/>
        <w:outlineLvl w:val="3"/>
        <w:rPr>
          <w:rFonts w:ascii="Segoe UI" w:eastAsia="Times New Roman" w:hAnsi="Segoe UI" w:cs="Segoe UI"/>
          <w:sz w:val="20"/>
          <w:szCs w:val="24"/>
          <w:lang w:eastAsia="en-GB"/>
        </w:rPr>
      </w:pPr>
      <w:r w:rsidRPr="00696CC3">
        <w:rPr>
          <w:rFonts w:ascii="Segoe UI" w:eastAsia="Times New Roman" w:hAnsi="Segoe UI" w:cs="Segoe UI"/>
          <w:sz w:val="20"/>
          <w:szCs w:val="24"/>
          <w:lang w:eastAsia="en-GB"/>
        </w:rPr>
        <w:t>Total assets increased 19% to £62.1 million, reflecting strategic capex in PPE and digital assets. Liabilities grew modestly at 7.5%, while equity (incl. redeemable NCI) rose 33% to £31.6 million, materially strengthening the capital structure. Long-term debt was reduced by 45% to £5.2 million. Tangible net worth of £31.1 million provides a solid equity buffer with minimal goodwill or intangibles on the balance sheet.</w:t>
      </w:r>
    </w:p>
    <w:p w14:paraId="3FA73A9F" w14:textId="0F29842E" w:rsidR="006E3331" w:rsidRDefault="00000000">
      <w:pPr>
        <w:spacing w:before="100" w:beforeAutospacing="1" w:after="100" w:afterAutospacing="1" w:line="240" w:lineRule="auto"/>
        <w:outlineLvl w:val="3"/>
        <w:rPr>
          <w:rFonts w:ascii="Segoe UI" w:eastAsia="Times New Roman" w:hAnsi="Segoe UI" w:cs="Segoe UI"/>
          <w:b/>
          <w:bCs/>
          <w:sz w:val="20"/>
          <w:szCs w:val="24"/>
          <w:lang w:eastAsia="en-GB"/>
        </w:rPr>
      </w:pPr>
      <w:r>
        <w:rPr>
          <w:rFonts w:ascii="Segoe UI" w:eastAsia="Times New Roman" w:hAnsi="Segoe UI" w:cs="Segoe UI"/>
          <w:b/>
          <w:bCs/>
          <w:sz w:val="20"/>
          <w:szCs w:val="24"/>
          <w:lang w:eastAsia="en-GB"/>
        </w:rPr>
        <w:t>Cash Flow</w:t>
      </w:r>
    </w:p>
    <w:p w14:paraId="1D82DCCB" w14:textId="46C09314" w:rsidR="008F34F5" w:rsidRPr="00696CC3" w:rsidRDefault="00000000" w:rsidP="00696CC3">
      <w:pPr>
        <w:spacing w:before="100" w:beforeAutospacing="1" w:after="100" w:afterAutospacing="1" w:line="240" w:lineRule="auto"/>
        <w:outlineLvl w:val="3"/>
        <w:rPr>
          <w:rFonts w:ascii="Segoe UI" w:eastAsia="Times New Roman" w:hAnsi="Segoe UI" w:cs="Segoe UI"/>
          <w:sz w:val="20"/>
          <w:szCs w:val="24"/>
          <w:lang w:eastAsia="en-GB"/>
        </w:rPr>
      </w:pPr>
      <w:r w:rsidRPr="00696CC3">
        <w:rPr>
          <w:rFonts w:ascii="Segoe UI" w:eastAsia="Times New Roman" w:hAnsi="Segoe UI" w:cs="Segoe UI"/>
          <w:sz w:val="20"/>
          <w:szCs w:val="24"/>
          <w:lang w:eastAsia="en-GB"/>
        </w:rPr>
        <w:t>Operating cash flow nearly doubled to £11.4 million, demonstrating high earnings quality and effective working capital management. Growth capex of £8.0 million resulted in negative free cash flow; however, this was comfortably funded by the £17.6 million cash balance and prior equity issuance. The year-end net cash position of £10.7 million significantly enhances financial resilience and flexibility for future opportunities.</w:t>
      </w:r>
    </w:p>
    <w:p w14:paraId="405D27D8" w14:textId="77777777" w:rsidR="00DD4CA6" w:rsidRPr="00DD4CA6" w:rsidRDefault="00DD4CA6" w:rsidP="00696CC3">
      <w:pPr>
        <w:pStyle w:val="Heading2"/>
        <w:rPr>
          <w:rFonts w:eastAsia="Times New Roman"/>
          <w:lang w:eastAsia="en-GB"/>
        </w:rPr>
      </w:pPr>
      <w:r>
        <w:rPr>
          <w:rFonts w:eastAsia="Times New Roman"/>
          <w:lang w:eastAsia="en-GB"/>
        </w:rPr>
        <w:t>Key Financial Ratios</w:t>
      </w:r>
    </w:p>
    <w:p w14:paraId="19C473DD" w14:textId="64D75336" w:rsidR="006E3331" w:rsidRDefault="00000000">
      <w:pPr>
        <w:spacing w:before="100" w:beforeAutospacing="1" w:after="100" w:afterAutospacing="1" w:line="240" w:lineRule="auto"/>
        <w:outlineLvl w:val="3"/>
        <w:rPr>
          <w:rFonts w:ascii="Segoe UI" w:eastAsia="Times New Roman" w:hAnsi="Segoe UI" w:cs="Segoe UI"/>
          <w:b/>
          <w:bCs/>
          <w:sz w:val="20"/>
          <w:szCs w:val="24"/>
          <w:lang w:eastAsia="en-GB"/>
        </w:rPr>
      </w:pPr>
      <w:r>
        <w:rPr>
          <w:rFonts w:ascii="Segoe UI" w:eastAsia="Times New Roman" w:hAnsi="Segoe UI" w:cs="Segoe UI"/>
          <w:b/>
          <w:bCs/>
          <w:sz w:val="20"/>
          <w:szCs w:val="24"/>
          <w:lang w:eastAsia="en-GB"/>
        </w:rPr>
        <w:t>Profitability Ratios</w:t>
      </w:r>
    </w:p>
    <w:p w14:paraId="5B6FC630" w14:textId="33A01C81" w:rsidR="008F34F5" w:rsidRPr="00696CC3" w:rsidRDefault="00000000" w:rsidP="00696CC3">
      <w:pPr>
        <w:spacing w:before="100" w:beforeAutospacing="1" w:after="100" w:afterAutospacing="1" w:line="240" w:lineRule="auto"/>
        <w:outlineLvl w:val="3"/>
        <w:rPr>
          <w:rFonts w:ascii="Segoe UI" w:eastAsia="Times New Roman" w:hAnsi="Segoe UI" w:cs="Segoe UI"/>
          <w:sz w:val="20"/>
          <w:szCs w:val="24"/>
          <w:lang w:eastAsia="en-GB"/>
        </w:rPr>
      </w:pPr>
      <w:r w:rsidRPr="00696CC3">
        <w:rPr>
          <w:rFonts w:ascii="Segoe UI" w:eastAsia="Times New Roman" w:hAnsi="Segoe UI" w:cs="Segoe UI"/>
          <w:sz w:val="20"/>
          <w:szCs w:val="24"/>
          <w:lang w:eastAsia="en-GB"/>
        </w:rPr>
        <w:t>All profitability ratios improved substantially: EBITDA margin 4.7% → 10.3%, operating margin 6.3% → 12.1%, ROA 1.7% → 9.1%, and ROE 3.7% → 18.1%. These trends confirm that the business has achieved critical scale, with fixed costs now well absorbed and core operations generating attractive returns.</w:t>
      </w:r>
    </w:p>
    <w:p w14:paraId="779B2BD0" w14:textId="20724B32" w:rsidR="006E3331" w:rsidRDefault="00000000">
      <w:pPr>
        <w:spacing w:before="100" w:beforeAutospacing="1" w:after="100" w:afterAutospacing="1" w:line="240" w:lineRule="auto"/>
        <w:outlineLvl w:val="3"/>
        <w:rPr>
          <w:rFonts w:ascii="Segoe UI" w:eastAsia="Times New Roman" w:hAnsi="Segoe UI" w:cs="Segoe UI"/>
          <w:b/>
          <w:bCs/>
          <w:sz w:val="20"/>
          <w:szCs w:val="24"/>
          <w:lang w:eastAsia="en-GB"/>
        </w:rPr>
      </w:pPr>
      <w:r>
        <w:rPr>
          <w:rFonts w:ascii="Segoe UI" w:eastAsia="Times New Roman" w:hAnsi="Segoe UI" w:cs="Segoe UI"/>
          <w:b/>
          <w:bCs/>
          <w:sz w:val="20"/>
          <w:szCs w:val="24"/>
          <w:lang w:eastAsia="en-GB"/>
        </w:rPr>
        <w:t>Leverage and Liquidity Ratios</w:t>
      </w:r>
    </w:p>
    <w:p w14:paraId="1276D232" w14:textId="5BBB77D5" w:rsidR="008F34F5" w:rsidRPr="00696CC3" w:rsidRDefault="00000000" w:rsidP="00696CC3">
      <w:pPr>
        <w:spacing w:before="100" w:beforeAutospacing="1" w:after="100" w:afterAutospacing="1" w:line="240" w:lineRule="auto"/>
        <w:outlineLvl w:val="3"/>
        <w:rPr>
          <w:rFonts w:ascii="Segoe UI" w:eastAsia="Times New Roman" w:hAnsi="Segoe UI" w:cs="Segoe UI"/>
          <w:sz w:val="20"/>
          <w:szCs w:val="24"/>
          <w:lang w:eastAsia="en-GB"/>
        </w:rPr>
      </w:pPr>
      <w:r w:rsidRPr="00696CC3">
        <w:rPr>
          <w:rFonts w:ascii="Segoe UI" w:eastAsia="Times New Roman" w:hAnsi="Segoe UI" w:cs="Segoe UI"/>
          <w:sz w:val="20"/>
          <w:szCs w:val="24"/>
          <w:lang w:eastAsia="en-GB"/>
        </w:rPr>
        <w:lastRenderedPageBreak/>
        <w:t xml:space="preserve">Leverage metrics have improved dramatically – Debt/EBITDA fell to 1.2x (from 7.8x), net leverage is now -1.9x (net cash), and EBITDA interest cover rose to 17.5x (from 2.1x). Liquidity has tightened (current ratio 1.38x, quick ratio 1.00x) due to inventory and payables growth supporting higher </w:t>
      </w:r>
      <w:proofErr w:type="gramStart"/>
      <w:r w:rsidRPr="00696CC3">
        <w:rPr>
          <w:rFonts w:ascii="Segoe UI" w:eastAsia="Times New Roman" w:hAnsi="Segoe UI" w:cs="Segoe UI"/>
          <w:sz w:val="20"/>
          <w:szCs w:val="24"/>
          <w:lang w:eastAsia="en-GB"/>
        </w:rPr>
        <w:t>revenue, but</w:t>
      </w:r>
      <w:proofErr w:type="gramEnd"/>
      <w:r w:rsidRPr="00696CC3">
        <w:rPr>
          <w:rFonts w:ascii="Segoe UI" w:eastAsia="Times New Roman" w:hAnsi="Segoe UI" w:cs="Segoe UI"/>
          <w:sz w:val="20"/>
          <w:szCs w:val="24"/>
          <w:lang w:eastAsia="en-GB"/>
        </w:rPr>
        <w:t xml:space="preserve"> remains adequate given the strong cash position.</w:t>
      </w:r>
    </w:p>
    <w:p w14:paraId="736A84DA" w14:textId="77777777" w:rsidR="00DD4CA6" w:rsidRPr="00DD4CA6" w:rsidRDefault="00DD4CA6" w:rsidP="00696CC3">
      <w:pPr>
        <w:pStyle w:val="Heading2"/>
        <w:rPr>
          <w:rFonts w:eastAsia="Times New Roman"/>
          <w:lang w:eastAsia="en-GB"/>
        </w:rPr>
      </w:pPr>
      <w:r>
        <w:rPr>
          <w:rFonts w:eastAsia="Times New Roman"/>
          <w:lang w:eastAsia="en-GB"/>
        </w:rPr>
        <w:t>Risk Assessment</w:t>
      </w:r>
    </w:p>
    <w:p w14:paraId="00E89545" w14:textId="41F108D6" w:rsidR="006E3331" w:rsidRDefault="00000000">
      <w:pPr>
        <w:spacing w:before="100" w:beforeAutospacing="1" w:after="100" w:afterAutospacing="1" w:line="240" w:lineRule="auto"/>
        <w:outlineLvl w:val="3"/>
        <w:rPr>
          <w:rFonts w:ascii="Segoe UI" w:eastAsia="Times New Roman" w:hAnsi="Segoe UI" w:cs="Segoe UI"/>
          <w:b/>
          <w:bCs/>
          <w:sz w:val="20"/>
          <w:szCs w:val="24"/>
          <w:lang w:eastAsia="en-GB"/>
        </w:rPr>
      </w:pPr>
      <w:r>
        <w:rPr>
          <w:rFonts w:ascii="Segoe UI" w:eastAsia="Times New Roman" w:hAnsi="Segoe UI" w:cs="Segoe UI"/>
          <w:b/>
          <w:bCs/>
          <w:sz w:val="20"/>
          <w:szCs w:val="24"/>
          <w:lang w:eastAsia="en-GB"/>
        </w:rPr>
        <w:t>Key Financial Risks</w:t>
      </w:r>
    </w:p>
    <w:p w14:paraId="76101FDD" w14:textId="56ECC724" w:rsidR="008F34F5" w:rsidRPr="00696CC3" w:rsidRDefault="00000000" w:rsidP="00696CC3">
      <w:pPr>
        <w:spacing w:before="100" w:beforeAutospacing="1" w:after="100" w:afterAutospacing="1" w:line="240" w:lineRule="auto"/>
        <w:outlineLvl w:val="3"/>
        <w:rPr>
          <w:rFonts w:ascii="Segoe UI" w:eastAsia="Times New Roman" w:hAnsi="Segoe UI" w:cs="Segoe UI"/>
          <w:sz w:val="20"/>
          <w:szCs w:val="24"/>
          <w:lang w:eastAsia="en-GB"/>
        </w:rPr>
      </w:pPr>
      <w:r w:rsidRPr="00696CC3">
        <w:rPr>
          <w:rFonts w:ascii="Segoe UI" w:eastAsia="Times New Roman" w:hAnsi="Segoe UI" w:cs="Segoe UI"/>
          <w:sz w:val="20"/>
          <w:szCs w:val="24"/>
          <w:lang w:eastAsia="en-GB"/>
        </w:rPr>
        <w:t>Primary risks are (1) liquidity pressure from rapid working-capital expansion (inventory +40%, AP +66%), (2) execution risk on growth capex given negative FCF, and (3) operational scaling challenges in a fast-growing green-tech business. These are mitigated by the £17.6m cash buffer, 17.5x interest cover, and conservative balance sheet with low leverage.</w:t>
      </w:r>
    </w:p>
    <w:p w14:paraId="0D3911A9" w14:textId="54A0A245" w:rsidR="006E3331" w:rsidRDefault="00000000">
      <w:pPr>
        <w:spacing w:before="100" w:beforeAutospacing="1" w:after="100" w:afterAutospacing="1" w:line="240" w:lineRule="auto"/>
        <w:outlineLvl w:val="2"/>
        <w:rPr>
          <w:rFonts w:ascii="Segoe UI" w:eastAsia="Times New Roman" w:hAnsi="Segoe UI" w:cs="Segoe UI"/>
          <w:b/>
          <w:bCs/>
          <w:sz w:val="20"/>
          <w:szCs w:val="27"/>
          <w:lang w:eastAsia="en-GB"/>
        </w:rPr>
      </w:pPr>
      <w:r>
        <w:rPr>
          <w:rFonts w:ascii="Segoe UI" w:eastAsia="Times New Roman" w:hAnsi="Segoe UI" w:cs="Segoe UI"/>
          <w:b/>
          <w:bCs/>
          <w:sz w:val="20"/>
          <w:szCs w:val="27"/>
          <w:lang w:eastAsia="en-GB"/>
        </w:rPr>
        <w:t>Actionable Insights</w:t>
      </w:r>
    </w:p>
    <w:p w14:paraId="518B092C" w14:textId="317E0403" w:rsidR="008F34F5" w:rsidRPr="00696CC3" w:rsidRDefault="00000000" w:rsidP="00696CC3">
      <w:pPr>
        <w:spacing w:before="100" w:beforeAutospacing="1" w:after="100" w:afterAutospacing="1" w:line="240" w:lineRule="auto"/>
        <w:outlineLvl w:val="2"/>
        <w:rPr>
          <w:rFonts w:ascii="Segoe UI" w:eastAsia="Times New Roman" w:hAnsi="Segoe UI" w:cs="Segoe UI"/>
          <w:sz w:val="20"/>
          <w:szCs w:val="27"/>
          <w:lang w:eastAsia="en-GB"/>
        </w:rPr>
      </w:pPr>
      <w:r w:rsidRPr="00696CC3">
        <w:rPr>
          <w:rFonts w:ascii="Segoe UI" w:eastAsia="Times New Roman" w:hAnsi="Segoe UI" w:cs="Segoe UI"/>
          <w:sz w:val="20"/>
          <w:szCs w:val="27"/>
          <w:lang w:eastAsia="en-GB"/>
        </w:rPr>
        <w:t>Prioritise enhanced working-capital reporting (DSO, DIO, DPO) with monthly Board oversight. Commission an independent review of capex IRRs and payback periods. Conduct liquidity stress testing under a 20% revenue downside scenario. Once FY2024 trading confirms margin sustainability, evaluate modest capital returns or accretive M&amp;A opportunities.</w:t>
      </w:r>
    </w:p>
    <w:p w14:paraId="36A0B086" w14:textId="4A6CC3DA" w:rsidR="006E3331" w:rsidRDefault="00000000" w:rsidP="00696CC3">
      <w:pPr>
        <w:pStyle w:val="Heading2"/>
        <w:rPr>
          <w:rFonts w:eastAsia="Times New Roman"/>
          <w:lang w:eastAsia="en-GB"/>
        </w:rPr>
      </w:pPr>
      <w:r>
        <w:rPr>
          <w:rFonts w:eastAsia="Times New Roman"/>
          <w:lang w:eastAsia="en-GB"/>
        </w:rPr>
        <w:t>Conclusion</w:t>
      </w:r>
    </w:p>
    <w:p w14:paraId="7276B8EF" w14:textId="5F93EF0E" w:rsidR="00DD4CA6" w:rsidRPr="00696CC3" w:rsidRDefault="00000000" w:rsidP="00696CC3">
      <w:pPr>
        <w:spacing w:before="100" w:beforeAutospacing="1" w:after="100" w:afterAutospacing="1" w:line="240" w:lineRule="auto"/>
        <w:outlineLvl w:val="2"/>
        <w:rPr>
          <w:rFonts w:ascii="Segoe UI" w:eastAsia="Times New Roman" w:hAnsi="Segoe UI" w:cs="Segoe UI"/>
          <w:sz w:val="20"/>
          <w:szCs w:val="27"/>
          <w:lang w:eastAsia="en-GB"/>
        </w:rPr>
      </w:pPr>
      <w:r w:rsidRPr="00696CC3">
        <w:rPr>
          <w:rFonts w:ascii="Segoe UI" w:eastAsia="Times New Roman" w:hAnsi="Segoe UI" w:cs="Segoe UI"/>
          <w:sz w:val="20"/>
          <w:szCs w:val="27"/>
          <w:lang w:eastAsia="en-GB"/>
        </w:rPr>
        <w:t>Green Solutions Manufacturing Ltd has achieved a step-change in financial strength, moving from a leveraged, low-margin position to a profitable, cash-generative business with a fortress balance sheet. Key risks are identifiable and manageable. We recommend proceeding with credit facilities, subject to ongoing monitoring of liquidity metrics and capex discipline. No material concerns for the credit file.</w:t>
      </w:r>
    </w:p>
    <w:sectPr w:rsidR="00DD4CA6" w:rsidRPr="00696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83D9B"/>
    <w:multiLevelType w:val="multilevel"/>
    <w:tmpl w:val="2AE2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23D7D"/>
    <w:multiLevelType w:val="multilevel"/>
    <w:tmpl w:val="38DE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2E53EE"/>
    <w:multiLevelType w:val="multilevel"/>
    <w:tmpl w:val="49B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B2827"/>
    <w:multiLevelType w:val="multilevel"/>
    <w:tmpl w:val="4BF6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6D2CBF"/>
    <w:multiLevelType w:val="multilevel"/>
    <w:tmpl w:val="A304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572E0"/>
    <w:multiLevelType w:val="multilevel"/>
    <w:tmpl w:val="79A0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70177"/>
    <w:multiLevelType w:val="multilevel"/>
    <w:tmpl w:val="9E26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582094">
    <w:abstractNumId w:val="4"/>
  </w:num>
  <w:num w:numId="2" w16cid:durableId="1377005423">
    <w:abstractNumId w:val="2"/>
  </w:num>
  <w:num w:numId="3" w16cid:durableId="1618829432">
    <w:abstractNumId w:val="6"/>
  </w:num>
  <w:num w:numId="4" w16cid:durableId="454644922">
    <w:abstractNumId w:val="5"/>
  </w:num>
  <w:num w:numId="5" w16cid:durableId="1476919904">
    <w:abstractNumId w:val="0"/>
  </w:num>
  <w:num w:numId="6" w16cid:durableId="1570117752">
    <w:abstractNumId w:val="1"/>
  </w:num>
  <w:num w:numId="7" w16cid:durableId="18982008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3NDQxNDQyMTY2MTRS0lEKTi0uzszPAykwrAUAECxosSwAAAA="/>
  </w:docVars>
  <w:rsids>
    <w:rsidRoot w:val="00DD4CA6"/>
    <w:rsid w:val="00696CC3"/>
    <w:rsid w:val="006E3331"/>
    <w:rsid w:val="007D2693"/>
    <w:rsid w:val="008F34F5"/>
    <w:rsid w:val="009E5F86"/>
    <w:rsid w:val="00DD4CA6"/>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AA746"/>
  <w15:chartTrackingRefBased/>
  <w15:docId w15:val="{CD18D1E8-7FA4-44B7-8C41-10845C450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C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96C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D4CA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DD4CA6"/>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4CA6"/>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DD4CA6"/>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DD4CA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D4CA6"/>
    <w:rPr>
      <w:b/>
      <w:bCs/>
    </w:rPr>
  </w:style>
  <w:style w:type="paragraph" w:styleId="ListParagraph">
    <w:name w:val="List Paragraph"/>
    <w:basedOn w:val="Normal"/>
    <w:uiPriority w:val="34"/>
    <w:qFormat/>
    <w:rsid w:val="008F34F5"/>
    <w:pPr>
      <w:ind w:left="720"/>
      <w:contextualSpacing/>
    </w:pPr>
  </w:style>
  <w:style w:type="character" w:customStyle="1" w:styleId="Heading2Char">
    <w:name w:val="Heading 2 Char"/>
    <w:basedOn w:val="DefaultParagraphFont"/>
    <w:link w:val="Heading2"/>
    <w:uiPriority w:val="9"/>
    <w:rsid w:val="00696CC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696CC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77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Soumyakanta Bera</cp:lastModifiedBy>
  <cp:revision>2</cp:revision>
  <dcterms:created xsi:type="dcterms:W3CDTF">2024-07-29T06:53:00Z</dcterms:created>
  <dcterms:modified xsi:type="dcterms:W3CDTF">2026-04-30T11:01:00Z</dcterms:modified>
</cp:coreProperties>
</file>