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882" w:rsidRPr="00880882" w:rsidRDefault="00880882" w:rsidP="00880882">
      <w:pPr>
        <w:spacing w:before="100" w:beforeAutospacing="1" w:after="100" w:afterAutospacing="1" w:line="240" w:lineRule="auto"/>
        <w:rPr>
          <w:rFonts w:eastAsia="Times New Roman" w:cstheme="minorHAnsi"/>
          <w:color w:val="FF0000"/>
          <w:lang w:eastAsia="en-GB"/>
        </w:rPr>
      </w:pPr>
      <w:r>
        <w:rPr>
          <w:rFonts w:eastAsia="Times New Roman" w:cstheme="minorHAnsi"/>
          <w:b/>
          <w:bCs/>
          <w:color w:val="FF0000"/>
          <w:lang w:eastAsia="en-GB"/>
        </w:rPr>
        <w:t>VIDEO RECORDING FOR CREDIT ANALYST</w:t>
      </w:r>
    </w:p>
    <w:p w:rsidR="00880882" w:rsidRPr="00880882" w:rsidRDefault="00880882" w:rsidP="00880882">
      <w:pPr>
        <w:spacing w:before="100" w:beforeAutospacing="1" w:after="100" w:afterAutospacing="1" w:line="240" w:lineRule="auto"/>
        <w:rPr>
          <w:rFonts w:eastAsia="Times New Roman" w:cstheme="minorHAnsi"/>
          <w:lang w:eastAsia="en-GB"/>
        </w:rPr>
      </w:pPr>
      <w:r>
        <w:rPr>
          <w:rFonts w:eastAsia="Times New Roman" w:cstheme="minorHAnsi"/>
          <w:lang w:eastAsia="en-GB"/>
        </w:rPr>
        <w:t>Good morning Darren,</w:t>
      </w:r>
    </w:p>
    <w:p w:rsidR="00880882" w:rsidRPr="00CC79F0" w:rsidRDefault="00CC79F0" w:rsidP="00880882">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This video provides a comprehensive update on Green Solutions Manufacturing Ltd's credit application. I'll walk you through our financial analysis, the supportive industry trends in reusable sustainable products, key findings from our due diligence, and my recommendation for your review.</w:t>
      </w:r>
    </w:p>
    <w:p w:rsidR="00880882" w:rsidRPr="00880882" w:rsidRDefault="00880882" w:rsidP="00880882">
      <w:pPr>
        <w:spacing w:before="100" w:beforeAutospacing="1" w:after="100" w:afterAutospacing="1" w:line="240" w:lineRule="auto"/>
        <w:rPr>
          <w:rFonts w:eastAsia="Times New Roman" w:cstheme="minorHAnsi"/>
          <w:lang w:eastAsia="en-GB"/>
        </w:rPr>
      </w:pPr>
      <w:r>
        <w:rPr>
          <w:rFonts w:eastAsia="Times New Roman" w:cstheme="minorHAnsi"/>
          <w:b/>
          <w:bCs/>
          <w:lang w:eastAsia="en-GB"/>
        </w:rPr>
        <w:t>Introduction:</w:t>
      </w:r>
    </w:p>
    <w:p w:rsidR="00CC79F0" w:rsidRPr="00CC79F0" w:rsidRDefault="00CC79F0" w:rsidP="00CC79F0">
      <w:pPr>
        <w:spacing w:before="100" w:beforeAutospacing="1" w:after="100" w:afterAutospacing="1" w:line="240" w:lineRule="auto"/>
        <w:rPr>
          <w:rFonts w:eastAsia="Times New Roman" w:cstheme="minorHAnsi"/>
          <w:color w:val="FF0000"/>
          <w:lang w:eastAsia="en-GB"/>
        </w:rPr>
      </w:pPr>
      <w:bookmarkStart w:id="0" w:name="_Hlk173218322"/>
      <w:r>
        <w:rPr>
          <w:rFonts w:eastAsia="Times New Roman" w:cstheme="minorHAnsi"/>
          <w:color w:val="FF0000"/>
          <w:lang w:eastAsia="en-GB"/>
        </w:rPr>
        <w:t xml:space="preserve"> Green Solutions Manufacturing Ltd is a UK-based manufacturer specializing in sustainable reusable consumer products, including eco-friendly coffee cups and water bottles, alongside solar energy systems and digital asset innovations. The company is capitalizing on the global shift towards sustainability, with operations positioned to benefit from regulatory tailwinds against single-use plastics and rising consumer demand for green alternatives. </w:t>
      </w:r>
      <w:r>
        <w:rPr>
          <w:rFonts w:ascii="Segoe UI" w:eastAsia="Times New Roman" w:hAnsi="Segoe UI" w:cs="Segoe UI"/>
          <w:color w:val="FF0000"/>
          <w:sz w:val="20"/>
          <w:szCs w:val="24"/>
          <w:lang w:eastAsia="en-GB"/>
        </w:rPr>
        <w:t/>
      </w:r>
      <w:r>
        <w:rPr>
          <w:rFonts w:eastAsia="Times New Roman" w:cstheme="minorHAnsi"/>
          <w:color w:val="FF0000"/>
          <w:lang w:eastAsia="en-GB"/>
        </w:rPr>
        <w:t/>
      </w:r>
    </w:p>
    <w:bookmarkEnd w:id="0"/>
    <w:p w:rsidR="00880882" w:rsidRDefault="00880882" w:rsidP="00880882">
      <w:pPr>
        <w:spacing w:before="100" w:beforeAutospacing="1" w:after="100" w:afterAutospacing="1" w:line="240" w:lineRule="auto"/>
        <w:rPr>
          <w:rFonts w:eastAsia="Times New Roman" w:cstheme="minorHAnsi"/>
          <w:b/>
          <w:bCs/>
          <w:lang w:eastAsia="en-GB"/>
        </w:rPr>
      </w:pPr>
      <w:r>
        <w:rPr>
          <w:rFonts w:eastAsia="Times New Roman" w:cstheme="minorHAnsi"/>
          <w:b/>
          <w:bCs/>
          <w:lang w:eastAsia="en-GB"/>
        </w:rPr>
        <w:t>Quantitative Analysis:</w:t>
      </w:r>
    </w:p>
    <w:p w:rsidR="00CC79F0" w:rsidRPr="00CC79F0" w:rsidRDefault="00CC79F0" w:rsidP="00CC79F0">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[From a quantitative perspective, Green Solutions delivered outstanding results in FY2023. Revenue surged 70.7% to £53.8 million, with operating margins expanding to 12.1% from 6.3% and EBITDA margin doubling to 10.3%. Profit after tax increased over 550% to £5.64 million. On the balance sheet, successful deleveraging is evident – Debt to EBITDA improved from 7.8x to just 1.2x, and the company now holds a net cash position of £10.7 million. Interest cover stands at a very comfortable 17.5x. Liquidity has tightened slightly with the current ratio at 1.38x and quick ratio at 1.0x due to working capital investments to support growth, but remains manageable given the strong £17.6 million cash reserves and operating cash flow of £11.4 million.</w:t>
      </w:r>
    </w:p>
    <w:p w:rsidR="00880882" w:rsidRPr="00880882" w:rsidRDefault="00880882" w:rsidP="00880882">
      <w:pPr>
        <w:spacing w:before="100" w:beforeAutospacing="1" w:after="100" w:afterAutospacing="1" w:line="240" w:lineRule="auto"/>
        <w:rPr>
          <w:rFonts w:eastAsia="Times New Roman" w:cstheme="minorHAnsi"/>
          <w:lang w:eastAsia="en-GB"/>
        </w:rPr>
      </w:pPr>
      <w:r>
        <w:rPr>
          <w:rFonts w:eastAsia="Times New Roman" w:cstheme="minorHAnsi"/>
          <w:b/>
          <w:bCs/>
          <w:lang w:eastAsia="en-GB"/>
        </w:rPr>
        <w:t>Industry Research:</w:t>
      </w:r>
      <w:bookmarkStart w:id="1" w:name="_GoBack"/>
      <w:bookmarkEnd w:id="1"/>
    </w:p>
    <w:p w:rsidR="00CC79F0" w:rsidRPr="00CC79F0" w:rsidRDefault="00CC79F0" w:rsidP="00CC79F0">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[Industry tailwinds are highly supportive for Green Solutions. The global reusable coffee cup market is forecast to grow at a 5.8% CAGR, reaching approximately USD 25 billion by 2031, driven by increased tourism, regulatory pushes to reduce plastic waste, and consumer preference for sustainability. The residential segment leads, with Europe – including the UK – showing strong growth at 6.5% CAGR. Similarly, the reusable water bottle market is expanding at 2.8% CAGR to exceed USD 11.5 billion by 2034, fueled by environmental concerns, government bans on single-use plastics, and health-conscious consumers. Key players include Thermos, Klean Kanteen, and Frank Green, but Green Solutions' focus on innovation, customization, and solar-integrated products positions it well to capture share in this ESG-aligned, high-growth sector.</w:t>
      </w:r>
    </w:p>
    <w:p>
      <w:pPr>
        <w:spacing w:before="100" w:beforeAutospacing="1" w:after="100" w:afterAutospacing="1" w:line="240" w:lineRule="auto"/>
        <w:rPr>
          <w:rFonts w:eastAsia="Times New Roman" w:cstheme="minorHAnsi"/>
          <w:lang w:eastAsia="en-GB"/>
        </w:rPr>
      </w:pPr>
      <w:r>
        <w:rPr>
          <w:rFonts w:eastAsia="Times New Roman" w:cstheme="minorHAnsi"/>
          <w:lang w:eastAsia="en-GB"/>
        </w:rPr>
        <w:t>Key Findings:</w:t>
      </w:r>
    </w:p>
    <w:p>
      <w:pPr>
        <w:spacing w:before="100" w:beforeAutospacing="1" w:after="100" w:afterAutospacing="1" w:line="240" w:lineRule="auto"/>
        <w:rPr>
          <w:rFonts w:eastAsia="Times New Roman" w:cstheme="minorHAnsi"/>
          <w:lang w:eastAsia="en-GB"/>
        </w:rPr>
      </w:pPr>
      <w:r>
        <w:rPr>
          <w:rFonts w:eastAsia="Times New Roman" w:cstheme="minorHAnsi"/>
          <w:lang w:eastAsia="en-GB"/>
        </w:rPr>
        <w:t>Our key findings indicate that Green Solutions has executed a remarkable financial turnaround, moving from a leveraged position with thin margins to a profitable, cash-generative business with a fortress-like balance sheet. The company is strategically aligned with powerful secular trends in sustainability and reusable products. Risks are primarily operational – managing working capital during rapid scaling and ensuring returns on growth capex – but these are mitigated by their net cash position, high interest coverage, and the favorable industry backdrop. No red flags for credit approval.</w:t>
      </w:r>
    </w:p>
    <w:p w:rsidR="00CC79F0" w:rsidRPr="00CC79F0" w:rsidRDefault="00CC79F0" w:rsidP="00CC79F0">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
      </w:r>
    </w:p>
    <w:p>
      <w:pPr>
        <w:spacing w:before="100" w:beforeAutospacing="1" w:after="100" w:afterAutospacing="1" w:line="240" w:lineRule="auto"/>
        <w:rPr>
          <w:rFonts w:eastAsia="Times New Roman" w:cstheme="minorHAnsi"/>
          <w:lang w:eastAsia="en-GB"/>
        </w:rPr>
      </w:pPr>
      <w:r>
        <w:rPr>
          <w:rFonts w:eastAsia="Times New Roman" w:cstheme="minorHAnsi"/>
          <w:lang w:eastAsia="en-GB"/>
        </w:rPr>
        <w:t>Conclusion:</w:t>
      </w:r>
    </w:p>
    <w:p>
      <w:pPr>
        <w:spacing w:before="100" w:beforeAutospacing="1" w:after="100" w:afterAutospacing="1" w:line="240" w:lineRule="auto"/>
        <w:rPr>
          <w:rFonts w:eastAsia="Times New Roman" w:cstheme="minorHAnsi"/>
          <w:lang w:eastAsia="en-GB"/>
        </w:rPr>
      </w:pPr>
      <w:r>
        <w:rPr>
          <w:rFonts w:eastAsia="Times New Roman" w:cstheme="minorHAnsi"/>
          <w:lang w:eastAsia="en-GB"/>
        </w:rPr>
        <w:t>In conclusion, I recommend we proceed with the credit facilities for Green Solutions Manufacturing Ltd. The combination of strong financial metrics, robust industry growth in the reusable products sector, and prudent management makes this a compelling credit opportunity. I suggest standard covenants around working capital reporting and capex thresholds to monitor execution. Darren, I'm happy to discuss any aspects in more detail or answer questions you may have. Thank you for your time.</w:t>
      </w:r>
    </w:p>
    <w:p w:rsidR="00CC79F0" w:rsidRPr="00CC79F0" w:rsidRDefault="00CC79F0" w:rsidP="00CC79F0">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
      </w:r>
    </w:p>
    <w:sectPr w:rsidR="00CC79F0" w:rsidRPr="00CC79F0" w:rsidSect="00B53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7923"/>
    <w:multiLevelType w:val="multilevel"/>
    <w:tmpl w:val="2808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176"/>
    <w:multiLevelType w:val="multilevel"/>
    <w:tmpl w:val="06B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1631"/>
    <w:multiLevelType w:val="hybridMultilevel"/>
    <w:tmpl w:val="1156747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3" w15:restartNumberingAfterBreak="0">
    <w:nsid w:val="33806784"/>
    <w:multiLevelType w:val="hybridMultilevel"/>
    <w:tmpl w:val="DD44F454"/>
    <w:lvl w:ilvl="0" w:tplc="FD30B9BC">
      <w:start w:val="1"/>
      <w:numFmt w:val="bullet"/>
      <w:lvlText w:val="•"/>
      <w:lvlJc w:val="left"/>
      <w:pPr>
        <w:tabs>
          <w:tab w:val="num" w:pos="720"/>
        </w:tabs>
        <w:ind w:left="720" w:hanging="360"/>
      </w:pPr>
      <w:rPr>
        <w:rFonts w:ascii="Arial" w:hAnsi="Arial" w:hint="default"/>
      </w:rPr>
    </w:lvl>
    <w:lvl w:ilvl="1" w:tplc="DD6E6EF6">
      <w:start w:val="1"/>
      <w:numFmt w:val="bullet"/>
      <w:lvlText w:val="•"/>
      <w:lvlJc w:val="left"/>
      <w:pPr>
        <w:tabs>
          <w:tab w:val="num" w:pos="1440"/>
        </w:tabs>
        <w:ind w:left="1440" w:hanging="360"/>
      </w:pPr>
      <w:rPr>
        <w:rFonts w:ascii="Arial" w:hAnsi="Arial" w:hint="default"/>
      </w:rPr>
    </w:lvl>
    <w:lvl w:ilvl="2" w:tplc="3DEA902E" w:tentative="1">
      <w:start w:val="1"/>
      <w:numFmt w:val="bullet"/>
      <w:lvlText w:val="•"/>
      <w:lvlJc w:val="left"/>
      <w:pPr>
        <w:tabs>
          <w:tab w:val="num" w:pos="2160"/>
        </w:tabs>
        <w:ind w:left="2160" w:hanging="360"/>
      </w:pPr>
      <w:rPr>
        <w:rFonts w:ascii="Arial" w:hAnsi="Arial" w:hint="default"/>
      </w:rPr>
    </w:lvl>
    <w:lvl w:ilvl="3" w:tplc="CD60501A" w:tentative="1">
      <w:start w:val="1"/>
      <w:numFmt w:val="bullet"/>
      <w:lvlText w:val="•"/>
      <w:lvlJc w:val="left"/>
      <w:pPr>
        <w:tabs>
          <w:tab w:val="num" w:pos="2880"/>
        </w:tabs>
        <w:ind w:left="2880" w:hanging="360"/>
      </w:pPr>
      <w:rPr>
        <w:rFonts w:ascii="Arial" w:hAnsi="Arial" w:hint="default"/>
      </w:rPr>
    </w:lvl>
    <w:lvl w:ilvl="4" w:tplc="69901416" w:tentative="1">
      <w:start w:val="1"/>
      <w:numFmt w:val="bullet"/>
      <w:lvlText w:val="•"/>
      <w:lvlJc w:val="left"/>
      <w:pPr>
        <w:tabs>
          <w:tab w:val="num" w:pos="3600"/>
        </w:tabs>
        <w:ind w:left="3600" w:hanging="360"/>
      </w:pPr>
      <w:rPr>
        <w:rFonts w:ascii="Arial" w:hAnsi="Arial" w:hint="default"/>
      </w:rPr>
    </w:lvl>
    <w:lvl w:ilvl="5" w:tplc="DFF2E35E" w:tentative="1">
      <w:start w:val="1"/>
      <w:numFmt w:val="bullet"/>
      <w:lvlText w:val="•"/>
      <w:lvlJc w:val="left"/>
      <w:pPr>
        <w:tabs>
          <w:tab w:val="num" w:pos="4320"/>
        </w:tabs>
        <w:ind w:left="4320" w:hanging="360"/>
      </w:pPr>
      <w:rPr>
        <w:rFonts w:ascii="Arial" w:hAnsi="Arial" w:hint="default"/>
      </w:rPr>
    </w:lvl>
    <w:lvl w:ilvl="6" w:tplc="2284AAEA" w:tentative="1">
      <w:start w:val="1"/>
      <w:numFmt w:val="bullet"/>
      <w:lvlText w:val="•"/>
      <w:lvlJc w:val="left"/>
      <w:pPr>
        <w:tabs>
          <w:tab w:val="num" w:pos="5040"/>
        </w:tabs>
        <w:ind w:left="5040" w:hanging="360"/>
      </w:pPr>
      <w:rPr>
        <w:rFonts w:ascii="Arial" w:hAnsi="Arial" w:hint="default"/>
      </w:rPr>
    </w:lvl>
    <w:lvl w:ilvl="7" w:tplc="52EED470" w:tentative="1">
      <w:start w:val="1"/>
      <w:numFmt w:val="bullet"/>
      <w:lvlText w:val="•"/>
      <w:lvlJc w:val="left"/>
      <w:pPr>
        <w:tabs>
          <w:tab w:val="num" w:pos="5760"/>
        </w:tabs>
        <w:ind w:left="5760" w:hanging="360"/>
      </w:pPr>
      <w:rPr>
        <w:rFonts w:ascii="Arial" w:hAnsi="Arial" w:hint="default"/>
      </w:rPr>
    </w:lvl>
    <w:lvl w:ilvl="8" w:tplc="453A477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A6572FF"/>
    <w:multiLevelType w:val="multilevel"/>
    <w:tmpl w:val="FCC6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20DA6"/>
    <w:multiLevelType w:val="hybridMultilevel"/>
    <w:tmpl w:val="BBF8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3A40E2"/>
    <w:multiLevelType w:val="hybridMultilevel"/>
    <w:tmpl w:val="D2F454D4"/>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7" w15:restartNumberingAfterBreak="0">
    <w:nsid w:val="60C10B49"/>
    <w:multiLevelType w:val="hybridMultilevel"/>
    <w:tmpl w:val="5ED8F806"/>
    <w:lvl w:ilvl="0" w:tplc="A2CABAF4">
      <w:start w:val="1"/>
      <w:numFmt w:val="bullet"/>
      <w:lvlText w:val="•"/>
      <w:lvlJc w:val="left"/>
      <w:pPr>
        <w:tabs>
          <w:tab w:val="num" w:pos="720"/>
        </w:tabs>
        <w:ind w:left="720" w:hanging="360"/>
      </w:pPr>
      <w:rPr>
        <w:rFonts w:ascii="Arial" w:hAnsi="Arial" w:hint="default"/>
      </w:rPr>
    </w:lvl>
    <w:lvl w:ilvl="1" w:tplc="AF2EF602" w:tentative="1">
      <w:start w:val="1"/>
      <w:numFmt w:val="bullet"/>
      <w:lvlText w:val="•"/>
      <w:lvlJc w:val="left"/>
      <w:pPr>
        <w:tabs>
          <w:tab w:val="num" w:pos="1440"/>
        </w:tabs>
        <w:ind w:left="1440" w:hanging="360"/>
      </w:pPr>
      <w:rPr>
        <w:rFonts w:ascii="Arial" w:hAnsi="Arial" w:hint="default"/>
      </w:rPr>
    </w:lvl>
    <w:lvl w:ilvl="2" w:tplc="635C4386" w:tentative="1">
      <w:start w:val="1"/>
      <w:numFmt w:val="bullet"/>
      <w:lvlText w:val="•"/>
      <w:lvlJc w:val="left"/>
      <w:pPr>
        <w:tabs>
          <w:tab w:val="num" w:pos="2160"/>
        </w:tabs>
        <w:ind w:left="2160" w:hanging="360"/>
      </w:pPr>
      <w:rPr>
        <w:rFonts w:ascii="Arial" w:hAnsi="Arial" w:hint="default"/>
      </w:rPr>
    </w:lvl>
    <w:lvl w:ilvl="3" w:tplc="E12293D6" w:tentative="1">
      <w:start w:val="1"/>
      <w:numFmt w:val="bullet"/>
      <w:lvlText w:val="•"/>
      <w:lvlJc w:val="left"/>
      <w:pPr>
        <w:tabs>
          <w:tab w:val="num" w:pos="2880"/>
        </w:tabs>
        <w:ind w:left="2880" w:hanging="360"/>
      </w:pPr>
      <w:rPr>
        <w:rFonts w:ascii="Arial" w:hAnsi="Arial" w:hint="default"/>
      </w:rPr>
    </w:lvl>
    <w:lvl w:ilvl="4" w:tplc="01383592" w:tentative="1">
      <w:start w:val="1"/>
      <w:numFmt w:val="bullet"/>
      <w:lvlText w:val="•"/>
      <w:lvlJc w:val="left"/>
      <w:pPr>
        <w:tabs>
          <w:tab w:val="num" w:pos="3600"/>
        </w:tabs>
        <w:ind w:left="3600" w:hanging="360"/>
      </w:pPr>
      <w:rPr>
        <w:rFonts w:ascii="Arial" w:hAnsi="Arial" w:hint="default"/>
      </w:rPr>
    </w:lvl>
    <w:lvl w:ilvl="5" w:tplc="83EA489E" w:tentative="1">
      <w:start w:val="1"/>
      <w:numFmt w:val="bullet"/>
      <w:lvlText w:val="•"/>
      <w:lvlJc w:val="left"/>
      <w:pPr>
        <w:tabs>
          <w:tab w:val="num" w:pos="4320"/>
        </w:tabs>
        <w:ind w:left="4320" w:hanging="360"/>
      </w:pPr>
      <w:rPr>
        <w:rFonts w:ascii="Arial" w:hAnsi="Arial" w:hint="default"/>
      </w:rPr>
    </w:lvl>
    <w:lvl w:ilvl="6" w:tplc="32A0B46E" w:tentative="1">
      <w:start w:val="1"/>
      <w:numFmt w:val="bullet"/>
      <w:lvlText w:val="•"/>
      <w:lvlJc w:val="left"/>
      <w:pPr>
        <w:tabs>
          <w:tab w:val="num" w:pos="5040"/>
        </w:tabs>
        <w:ind w:left="5040" w:hanging="360"/>
      </w:pPr>
      <w:rPr>
        <w:rFonts w:ascii="Arial" w:hAnsi="Arial" w:hint="default"/>
      </w:rPr>
    </w:lvl>
    <w:lvl w:ilvl="7" w:tplc="70223796" w:tentative="1">
      <w:start w:val="1"/>
      <w:numFmt w:val="bullet"/>
      <w:lvlText w:val="•"/>
      <w:lvlJc w:val="left"/>
      <w:pPr>
        <w:tabs>
          <w:tab w:val="num" w:pos="5760"/>
        </w:tabs>
        <w:ind w:left="5760" w:hanging="360"/>
      </w:pPr>
      <w:rPr>
        <w:rFonts w:ascii="Arial" w:hAnsi="Arial" w:hint="default"/>
      </w:rPr>
    </w:lvl>
    <w:lvl w:ilvl="8" w:tplc="CE504C8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42E7869"/>
    <w:multiLevelType w:val="hybridMultilevel"/>
    <w:tmpl w:val="72EC2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AF4502"/>
    <w:multiLevelType w:val="hybridMultilevel"/>
    <w:tmpl w:val="4A0639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8"/>
  </w:num>
  <w:num w:numId="5">
    <w:abstractNumId w:val="2"/>
  </w:num>
  <w:num w:numId="6">
    <w:abstractNumId w:val="5"/>
  </w:num>
  <w:num w:numId="7">
    <w:abstractNumId w:val="6"/>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3MzAyNDM1s7C0NLVQ0lEKTi0uzszPAykwqgUA4p+5oSwAAAA="/>
  </w:docVars>
  <w:rsids>
    <w:rsidRoot w:val="0044110D"/>
    <w:rsid w:val="00035945"/>
    <w:rsid w:val="00043818"/>
    <w:rsid w:val="00127CA4"/>
    <w:rsid w:val="00172ADB"/>
    <w:rsid w:val="00180905"/>
    <w:rsid w:val="002D3D42"/>
    <w:rsid w:val="003003D7"/>
    <w:rsid w:val="00335530"/>
    <w:rsid w:val="003937FA"/>
    <w:rsid w:val="003A66AB"/>
    <w:rsid w:val="00403664"/>
    <w:rsid w:val="0044110D"/>
    <w:rsid w:val="006068DC"/>
    <w:rsid w:val="00637E7D"/>
    <w:rsid w:val="006F1132"/>
    <w:rsid w:val="00700DC8"/>
    <w:rsid w:val="00705A17"/>
    <w:rsid w:val="00765EEC"/>
    <w:rsid w:val="00825CDE"/>
    <w:rsid w:val="00880882"/>
    <w:rsid w:val="00991E37"/>
    <w:rsid w:val="00AB2243"/>
    <w:rsid w:val="00AE3AEA"/>
    <w:rsid w:val="00B015E2"/>
    <w:rsid w:val="00B96494"/>
    <w:rsid w:val="00BD5855"/>
    <w:rsid w:val="00CC79F0"/>
    <w:rsid w:val="00DA007B"/>
    <w:rsid w:val="00E05C05"/>
    <w:rsid w:val="00E241C9"/>
    <w:rsid w:val="00EB2205"/>
    <w:rsid w:val="00F52EBD"/>
    <w:rsid w:val="00F752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E76164-4D34-4885-A903-8D023022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1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10D"/>
    <w:pPr>
      <w:ind w:left="720"/>
      <w:contextualSpacing/>
    </w:pPr>
  </w:style>
  <w:style w:type="character" w:styleId="Hyperlink">
    <w:name w:val="Hyperlink"/>
    <w:basedOn w:val="DefaultParagraphFont"/>
    <w:uiPriority w:val="99"/>
    <w:unhideWhenUsed/>
    <w:rsid w:val="0044110D"/>
    <w:rPr>
      <w:color w:val="0000FF" w:themeColor="hyperlink"/>
      <w:u w:val="single"/>
    </w:rPr>
  </w:style>
  <w:style w:type="paragraph" w:styleId="NormalWeb">
    <w:name w:val="Normal (Web)"/>
    <w:basedOn w:val="Normal"/>
    <w:uiPriority w:val="99"/>
    <w:semiHidden/>
    <w:unhideWhenUsed/>
    <w:rsid w:val="008808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80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309771">
      <w:bodyDiv w:val="1"/>
      <w:marLeft w:val="0"/>
      <w:marRight w:val="0"/>
      <w:marTop w:val="0"/>
      <w:marBottom w:val="0"/>
      <w:divBdr>
        <w:top w:val="none" w:sz="0" w:space="0" w:color="auto"/>
        <w:left w:val="none" w:sz="0" w:space="0" w:color="auto"/>
        <w:bottom w:val="none" w:sz="0" w:space="0" w:color="auto"/>
        <w:right w:val="none" w:sz="0" w:space="0" w:color="auto"/>
      </w:divBdr>
    </w:div>
    <w:div w:id="968899837">
      <w:bodyDiv w:val="1"/>
      <w:marLeft w:val="0"/>
      <w:marRight w:val="0"/>
      <w:marTop w:val="0"/>
      <w:marBottom w:val="0"/>
      <w:divBdr>
        <w:top w:val="none" w:sz="0" w:space="0" w:color="auto"/>
        <w:left w:val="none" w:sz="0" w:space="0" w:color="auto"/>
        <w:bottom w:val="none" w:sz="0" w:space="0" w:color="auto"/>
        <w:right w:val="none" w:sz="0" w:space="0" w:color="auto"/>
      </w:divBdr>
      <w:divsChild>
        <w:div w:id="1300956445">
          <w:marLeft w:val="274"/>
          <w:marRight w:val="0"/>
          <w:marTop w:val="0"/>
          <w:marBottom w:val="0"/>
          <w:divBdr>
            <w:top w:val="none" w:sz="0" w:space="0" w:color="auto"/>
            <w:left w:val="none" w:sz="0" w:space="0" w:color="auto"/>
            <w:bottom w:val="none" w:sz="0" w:space="0" w:color="auto"/>
            <w:right w:val="none" w:sz="0" w:space="0" w:color="auto"/>
          </w:divBdr>
        </w:div>
      </w:divsChild>
    </w:div>
    <w:div w:id="1743526336">
      <w:bodyDiv w:val="1"/>
      <w:marLeft w:val="0"/>
      <w:marRight w:val="0"/>
      <w:marTop w:val="0"/>
      <w:marBottom w:val="0"/>
      <w:divBdr>
        <w:top w:val="none" w:sz="0" w:space="0" w:color="auto"/>
        <w:left w:val="none" w:sz="0" w:space="0" w:color="auto"/>
        <w:bottom w:val="none" w:sz="0" w:space="0" w:color="auto"/>
        <w:right w:val="none" w:sz="0" w:space="0" w:color="auto"/>
      </w:divBdr>
      <w:divsChild>
        <w:div w:id="1350713481">
          <w:marLeft w:val="274"/>
          <w:marRight w:val="0"/>
          <w:marTop w:val="0"/>
          <w:marBottom w:val="0"/>
          <w:divBdr>
            <w:top w:val="none" w:sz="0" w:space="0" w:color="auto"/>
            <w:left w:val="none" w:sz="0" w:space="0" w:color="auto"/>
            <w:bottom w:val="none" w:sz="0" w:space="0" w:color="auto"/>
            <w:right w:val="none" w:sz="0" w:space="0" w:color="auto"/>
          </w:divBdr>
        </w:div>
        <w:div w:id="1318000144">
          <w:marLeft w:val="274"/>
          <w:marRight w:val="0"/>
          <w:marTop w:val="0"/>
          <w:marBottom w:val="0"/>
          <w:divBdr>
            <w:top w:val="none" w:sz="0" w:space="0" w:color="auto"/>
            <w:left w:val="none" w:sz="0" w:space="0" w:color="auto"/>
            <w:bottom w:val="none" w:sz="0" w:space="0" w:color="auto"/>
            <w:right w:val="none" w:sz="0" w:space="0" w:color="auto"/>
          </w:divBdr>
        </w:div>
        <w:div w:id="1852833897">
          <w:marLeft w:val="274"/>
          <w:marRight w:val="0"/>
          <w:marTop w:val="0"/>
          <w:marBottom w:val="0"/>
          <w:divBdr>
            <w:top w:val="none" w:sz="0" w:space="0" w:color="auto"/>
            <w:left w:val="none" w:sz="0" w:space="0" w:color="auto"/>
            <w:bottom w:val="none" w:sz="0" w:space="0" w:color="auto"/>
            <w:right w:val="none" w:sz="0" w:space="0" w:color="auto"/>
          </w:divBdr>
        </w:div>
        <w:div w:id="1413354477">
          <w:marLeft w:val="274"/>
          <w:marRight w:val="0"/>
          <w:marTop w:val="0"/>
          <w:marBottom w:val="0"/>
          <w:divBdr>
            <w:top w:val="none" w:sz="0" w:space="0" w:color="auto"/>
            <w:left w:val="none" w:sz="0" w:space="0" w:color="auto"/>
            <w:bottom w:val="none" w:sz="0" w:space="0" w:color="auto"/>
            <w:right w:val="none" w:sz="0" w:space="0" w:color="auto"/>
          </w:divBdr>
        </w:div>
        <w:div w:id="74449915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1</Pages>
  <Words>52</Words>
  <Characters>302</Characters>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2022-03-07T04:45:00Z</dcterms:created>
  <dcterms:modified xsi:type="dcterms:W3CDTF">2024-08-02T06:57:00Z</dcterms:modified>
</cp:coreProperties>
</file>