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2"/>
          <w:szCs w:val="22"/>
        </w:rPr>
        <w:t xml:space="preserve">To:	</w:t>
      </w:r>
      <w:r>
        <w:rPr>
          <w:rFonts w:ascii="Calibri" w:cs="Calibri" w:eastAsia="Calibri" w:hAnsi="Calibri"/>
          <w:sz w:val="22"/>
          <w:szCs w:val="22"/>
        </w:rPr>
        <w:t xml:space="preserve">Anna</w:t>
      </w:r>
    </w:p>
    <w:p>
      <w:pPr>
        <w:spacing w:after="60"/>
      </w:pPr>
      <w:r>
        <w:rPr>
          <w:rFonts w:ascii="Calibri" w:cs="Calibri" w:eastAsia="Calibri" w:hAnsi="Calibri"/>
          <w:b/>
          <w:bCs/>
          <w:sz w:val="22"/>
          <w:szCs w:val="22"/>
        </w:rPr>
        <w:t xml:space="preserve">From:	</w:t>
      </w:r>
      <w:r>
        <w:rPr>
          <w:rFonts w:ascii="Calibri" w:cs="Calibri" w:eastAsia="Calibri" w:hAnsi="Calibri"/>
          <w:sz w:val="22"/>
          <w:szCs w:val="22"/>
        </w:rPr>
        <w:t xml:space="preserve">Mark</w:t>
      </w:r>
    </w:p>
    <w:p>
      <w:pPr>
        <w:spacing w:after="200"/>
      </w:pPr>
      <w:r>
        <w:rPr>
          <w:rFonts w:ascii="Calibri" w:cs="Calibri" w:eastAsia="Calibri" w:hAnsi="Calibri"/>
          <w:b/>
          <w:bCs/>
          <w:sz w:val="22"/>
          <w:szCs w:val="22"/>
        </w:rPr>
        <w:t xml:space="preserve">Subject:	</w:t>
      </w:r>
      <w:r>
        <w:rPr>
          <w:rFonts w:ascii="Calibri" w:cs="Calibri" w:eastAsia="Calibri" w:hAnsi="Calibri"/>
          <w:sz w:val="22"/>
          <w:szCs w:val="22"/>
        </w:rPr>
        <w:t xml:space="preserve">Asia Beverage M&amp;A Targets for WorldWide Brewing – Recommendations for Carlos</w:t>
      </w:r>
    </w:p>
    <w:p>
      <w:pPr>
        <w:spacing w:after="120"/>
      </w:pPr>
      <w:r>
        <w:rPr>
          <w:rFonts w:ascii="Calibri" w:cs="Calibri" w:eastAsia="Calibri" w:hAnsi="Calibri"/>
          <w:sz w:val="22"/>
          <w:szCs w:val="22"/>
        </w:rPr>
        <w:t xml:space="preserve">Hi Anna,</w:t>
      </w:r>
    </w:p>
    <w:p>
      <w:pPr>
        <w:spacing w:after="200"/>
      </w:pPr>
      <w:r>
        <w:rPr>
          <w:rFonts w:ascii="Calibri" w:cs="Calibri" w:eastAsia="Calibri" w:hAnsi="Calibri"/>
          <w:sz w:val="20"/>
          <w:szCs w:val="20"/>
        </w:rPr>
        <w:t xml:space="preserve">You may find it useful to format your email using the following table – we have given an example for one of the companies below. I have reviewed all five targets from the call with the Hong Kong Director and provided recommendations based on strategic fit, financial performance, and acquisition feasibility for our client WorldWide Brewing.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600"/>
        <w:gridCol w:w="1560"/>
      </w:tblGrid>
      <w:tr>
        <w:tc>
          <w:tcPr>
            <w:tcW w:type="dxa" w:w="1400"/>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Company</w:t>
            </w:r>
          </w:p>
        </w:tc>
        <w:tc>
          <w:tcPr>
            <w:tcW w:type="dxa" w:w="2800"/>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Relevance to WorldWide Brewing</w:t>
            </w:r>
          </w:p>
        </w:tc>
        <w:tc>
          <w:tcPr>
            <w:tcW w:type="dxa" w:w="1560"/>
            <w:tcBorders>
              <w:top w:val="single" w:color="CCCCCC" w:sz="1"/>
              <w:left w:val="single" w:color="CCCCCC" w:sz="1"/>
              <w:bottom w:val="single" w:color="CCCCCC" w:sz="1"/>
              <w:right w:val="single" w:color="CCCCCC" w:sz="1"/>
            </w:tcBorders>
            <w:shd w:fill="4472C4" w:val="clear"/>
            <w:tcMar>
              <w:top w:type="dxa" w:w="60"/>
              <w:left w:type="dxa" w:w="80"/>
              <w:bottom w:type="dxa" w:w="60"/>
              <w:right w:type="dxa" w:w="80"/>
            </w:tcMar>
            <w:vAlign w:val="center"/>
          </w:tcPr>
          <w:p>
            <w:r>
              <w:rPr>
                <w:rFonts w:ascii="Calibri" w:cs="Calibri" w:eastAsia="Calibri" w:hAnsi="Calibri"/>
                <w:b/>
                <w:bCs/>
                <w:color w:val="FFFFFF"/>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HappyHour 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HappyHour Co. is the largest player in Singapore and Malaysia, in the segments of beer, spirits and non-alcoholic beverages. Its operations include manufacturing facilities, distribution and direct sales and it has demonstrated strong growth in EBITDA in FY2020 which was up 20% pcp and amounted to US$300mm.</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It has similar operations to WorldWide Brewing across the same segments and is the leading player in Singapore and Malaysia, suggesting the potential for strategic benefits and synergies. It has solid financial results and an ownership structure that is owned by 3 families, rendering a potential acquisition relatively simple and feasible. HappyHour Co. would be appropriate to share.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Recommend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Spirit Bay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Spirit Bay is an Indonesian beverage company operating in beer, spirits, and non-alcoholic beverages with #1 position in Indonesia and #2 in Singapore/Malaysia. It has integrated manufacturing (Indonesia), distribution, and direct sales operations, reporting strong US$400mm EBITDA (+40% pcp) in FY2020 under 60% Global Sponsor / 40% employee ownership.</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Offers strong strategic fit with similar integrated ops and high-growth Asian markets for WorldWide Brewing's expansion; attractive financials and PE ownership structure is feasible for strategic buyer exit. Appropriate to share with Carlos.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Recommend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Hipsters’ Ale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Hipsters’ Ale is a Malaysian beer and spirits company operating in Singapore, Indonesia, Japan, Korea, and Cambodia via a consortium of 30 independent microbreweries for manufacturing, distribution, and direct sales, with US$200mm EBITDA (+15% pcp) in FY2020 owned by the 30 breweries.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Broad geographic coverage but highly fragmented ownership by 30 independent parties and consortium manufacturing create major acquisition complexity, negotiation risks, and operational integration challenges with limited synergies; not appropriate to share.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Do not recommend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Brew 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Brew Co. is Malaysia's #1 alcohol manufacturer in beer and spirits, operating solely manufacturing facilities and listed on Bursa Malaysia with mostly institutional shareholders; US$800mm EBITDA (-5% pcp) in FY2020.</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Significant scale but declining earnings, manufacturing-only model (no distribution/sales synergies), and public company status introduce high M&amp;A complexity, regulatory requirements, and poor financial trajectory; not appropriate to share with Carlos.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Do not recommend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Bevy’s Direct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Bevy’s Direct is a Singapore-based family-owned wholesale distributor of beer, spirits, and non-alcoholic beverages across Malaysia, China, Indonesia, Japan, Korea, Cambodia, Australia, and New Zealand, with US$250mm EBITDA (+20% pcp) in FY2020.</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Excellent Asia-Pacific distribution reach and growth with simple family ownership for easy acquisition; complements WorldWide Brewing's manufacturing strengths for market access in rising middle-class markets. Appropriate to share with Carlos.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r>
              <w:rPr>
                <w:rFonts w:ascii="Calibri" w:cs="Calibri" w:eastAsia="Calibri" w:hAnsi="Calibri"/>
                <w:b w:val="false"/>
                <w:bCs w:val="false"/>
                <w:color w:val="000000"/>
                <w:sz w:val="18"/>
                <w:szCs w:val="18"/>
              </w:rPr>
              <w:t xml:space="preserve">Recommend</w:t>
            </w:r>
          </w:p>
        </w:tc>
      </w:tr>
    </w:tbl>
    <w:p>
      <w:pPr>
        <w:spacing w:after="120" w:before="300"/>
      </w:pPr>
      <w:r>
        <w:rPr>
          <w:rFonts w:ascii="Calibri" w:cs="Calibri" w:eastAsia="Calibri" w:hAnsi="Calibri"/>
          <w:sz w:val="22"/>
          <w:szCs w:val="22"/>
        </w:rPr>
        <w:t xml:space="preserve"/>
      </w:r>
    </w:p>
    <w:p>
      <w:pPr>
        <w:spacing w:after="200"/>
      </w:pPr>
      <w:r>
        <w:rPr>
          <w:rFonts w:ascii="Calibri" w:cs="Calibri" w:eastAsia="Calibri" w:hAnsi="Calibri"/>
          <w:sz w:val="22"/>
          <w:szCs w:val="22"/>
        </w:rPr>
        <w:t xml:space="preserve">Please let me know if you need any additional analysis before sharing with Carlos.</w:t>
      </w:r>
    </w:p>
    <w:p>
      <w:pPr>
        <w:spacing w:after="60"/>
      </w:pPr>
      <w:r>
        <w:rPr>
          <w:rFonts w:ascii="Calibri" w:cs="Calibri" w:eastAsia="Calibri" w:hAnsi="Calibri"/>
          <w:sz w:val="22"/>
          <w:szCs w:val="22"/>
        </w:rPr>
        <w:t xml:space="preserve">Best regards,</w:t>
      </w:r>
    </w:p>
    <w:p>
      <w:r>
        <w:rPr>
          <w:rFonts w:ascii="Calibri" w:cs="Calibri" w:eastAsia="Calibri" w:hAnsi="Calibri"/>
          <w:b/>
          <w:bCs/>
          <w:sz w:val="22"/>
          <w:szCs w:val="22"/>
        </w:rPr>
        <w:t xml:space="preserve">Mark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2026-05-02T19:06:58.871Z</dcterms:created>
  <dcterms:modified xsi:type="dcterms:W3CDTF">2026-05-02T19:06:58.872Z</dcterms:modified>
</cp:coreProperties>
</file>

<file path=docProps/custom.xml><?xml version="1.0" encoding="utf-8"?>
<Properties xmlns="http://schemas.openxmlformats.org/officeDocument/2006/custom-properties" xmlns:vt="http://schemas.openxmlformats.org/officeDocument/2006/docPropsVTypes"/>
</file>