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 1.2 and 1.3 on 2026-10-09</w:t>
            </w:r>
          </w:p>
        </w:tc>
      </w:tr>
      <w:tr>
        <w:trPr>
          <w:cantSplit w:val="true"/>
        </w:trPr>
        <w:tc>
          <w:tcPr>
            <w:tcW w:type="dxa" w:w="2880"/>
          </w:tcPr>
          <w:p>
            <w:pPr>
              <w:spacing w:after="40"/>
            </w:pPr>
            <w:r/>
            <w:r>
              <w:rPr>
                <w:b/>
                <w:sz w:val="17"/>
              </w:rPr>
              <w:t>What changed in v1.3</w:t>
            </w:r>
          </w:p>
        </w:tc>
        <w:tc>
          <w:tcPr>
            <w:tcW w:type="dxa" w:w="11232"/>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shd w:val="clear" w:color="auto" w:fill="F3F6FB"/>
          </w:tcPr>
          <w:p>
            <w:pPr>
              <w:spacing w:after="40"/>
            </w:pPr>
            <w:r/>
            <w:r>
              <w:rPr>
                <w:b/>
                <w:sz w:val="17"/>
              </w:rPr>
              <w:t>What changed in v1.2</w:t>
            </w:r>
          </w:p>
        </w:tc>
        <w:tc>
          <w:tcPr>
            <w:tcW w:type="dxa" w:w="11232"/>
            <w:shd w:val="clear" w:color="auto" w:fill="F3F6FB"/>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on the staging site and on your local copy. Sections A to I are unchanged from v1.1.</w:t>
            </w:r>
          </w:p>
        </w:tc>
      </w:tr>
      <w:tr>
        <w:trPr>
          <w:cantSplit w:val="true"/>
        </w:trPr>
        <w:tc>
          <w:tcPr>
            <w:tcW w:type="dxa" w:w="2880"/>
          </w:tcPr>
          <w:p>
            <w:pPr>
              <w:spacing w:after="40"/>
            </w:pPr>
            <w:r/>
            <w:r>
              <w:rPr>
                <w:b/>
                <w:sz w:val="17"/>
              </w:rPr>
              <w:t>What changed in v1.1</w:t>
            </w:r>
          </w:p>
        </w:tc>
        <w:tc>
          <w:tcPr>
            <w:tcW w:type="dxa" w:w="11232"/>
          </w:tcPr>
          <w:p>
            <w:pPr>
              <w:spacing w:after="40"/>
            </w:pPr>
            <w:r/>
            <w:r>
              <w:rPr>
                <w:sz w:val="17"/>
              </w:rPr>
              <w:t>Added Section J (SIMS direction check, 5 tests) after the double-reversal defect was confirmed on 2026-10-08.</w:t>
            </w:r>
          </w:p>
        </w:tc>
      </w:tr>
      <w:tr>
        <w:trPr>
          <w:cantSplit w:val="true"/>
        </w:trPr>
        <w:tc>
          <w:tcPr>
            <w:tcW w:type="dxa" w:w="2880"/>
            <w:shd w:val="clear" w:color="auto" w:fill="F3F6FB"/>
          </w:tcPr>
          <w:p>
            <w:pPr>
              <w:spacing w:after="40"/>
            </w:pPr>
            <w:r/>
            <w:r>
              <w:rPr>
                <w:b/>
                <w:sz w:val="17"/>
              </w:rPr>
              <w:t>What is being tested</w:t>
            </w:r>
          </w:p>
        </w:tc>
        <w:tc>
          <w:tcPr>
            <w:tcW w:type="dxa" w:w="11232"/>
            <w:shd w:val="clear" w:color="auto" w:fill="F3F6FB"/>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tcPr>
          <w:p>
            <w:pPr>
              <w:spacing w:after="40"/>
            </w:pPr>
            <w:r/>
            <w:r>
              <w:rPr>
                <w:b/>
                <w:sz w:val="17"/>
              </w:rPr>
              <w:t>Code under test</w:t>
            </w:r>
          </w:p>
        </w:tc>
        <w:tc>
          <w:tcPr>
            <w:tcW w:type="dxa" w:w="11232"/>
          </w:tcPr>
          <w:p>
            <w:pPr>
              <w:spacing w:after="40"/>
            </w:pPr>
            <w:r/>
            <w:r>
              <w:rPr>
                <w:sz w:val="17"/>
              </w:rPr>
              <w:t>Git branch `test`, latest commit 6816015 (dashboard chart fixes, on top of the SIMS dashboard fix ae7da67, the SIMS scoring fix f4d9d3f and the item-difficulty work). Deployed to STAGING only (staging redeployed 2026-10-09 10:32). Production is untouched (still at commit 8d94f4a, which still has the old SIMS scoring).</w:t>
            </w:r>
          </w:p>
        </w:tc>
      </w:tr>
      <w:tr>
        <w:trPr>
          <w:cantSplit w:val="true"/>
        </w:trPr>
        <w:tc>
          <w:tcPr>
            <w:tcW w:type="dxa" w:w="2880"/>
            <w:shd w:val="clear" w:color="auto" w:fill="F3F6FB"/>
          </w:tcPr>
          <w:p>
            <w:pPr>
              <w:spacing w:after="40"/>
            </w:pPr>
            <w:r/>
            <w:r>
              <w:rPr>
                <w:b/>
                <w:sz w:val="17"/>
              </w:rPr>
              <w:t>Estimated effort</w:t>
            </w:r>
          </w:p>
        </w:tc>
        <w:tc>
          <w:tcPr>
            <w:tcW w:type="dxa" w:w="11232"/>
            <w:shd w:val="clear" w:color="auto" w:fill="F3F6FB"/>
          </w:tcPr>
          <w:p>
            <w:pPr>
              <w:spacing w:after="40"/>
            </w:pPr>
            <w:r/>
            <w:r>
              <w:rPr>
                <w:sz w:val="17"/>
              </w:rPr>
              <w:t>About 3 to 4 hours in total. You can stop after any section and report what you have.</w:t>
            </w:r>
          </w:p>
        </w:tc>
      </w:tr>
      <w:tr>
        <w:trPr>
          <w:cantSplit w:val="true"/>
        </w:trPr>
        <w:tc>
          <w:tcPr>
            <w:tcW w:type="dxa" w:w="2880"/>
          </w:tcPr>
          <w:p>
            <w:pPr>
              <w:spacing w:after="40"/>
            </w:pPr>
            <w:r/>
            <w:r>
              <w:rPr>
                <w:b/>
                <w:sz w:val="17"/>
              </w:rPr>
              <w:t>Estimated cost</w:t>
            </w:r>
          </w:p>
        </w:tc>
        <w:tc>
          <w:tcPr>
            <w:tcW w:type="dxa" w:w="11232"/>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shd w:val="clear" w:color="auto" w:fill="F3F6FB"/>
          </w:tcPr>
          <w:p>
            <w:pPr>
              <w:spacing w:after="40"/>
            </w:pPr>
            <w:r/>
            <w:r>
              <w:rPr>
                <w:b/>
                <w:sz w:val="17"/>
              </w:rPr>
              <w:t>How your results come back to me</w:t>
            </w:r>
          </w:p>
        </w:tc>
        <w:tc>
          <w:tcPr>
            <w:tcW w:type="dxa" w:w="11232"/>
            <w:shd w:val="clear" w:color="auto" w:fill="F3F6FB"/>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A copy of the database that was loaded on 2026-07-10. It may be older and smaller than your local data, so statistics can differ. Record the counts you see (test A4); use staging to confirm the deployed app works, not to match my numbers.</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launch.py</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J1, J2, J4, J5 and J8 are run locally (L); J3, J6, J7, J9, J10 and J11 need the dashboard (use staging, 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S</w:t>
            </w:r>
          </w:p>
        </w:tc>
        <w:tc>
          <w:tcPr>
            <w:tcW w:type="dxa" w:w="4464"/>
          </w:tcPr>
          <w:p>
            <w:pPr>
              <w:spacing w:after="40"/>
            </w:pPr>
            <w:r/>
            <w:r>
              <w:rPr>
                <w:sz w:val="17"/>
              </w:rPr>
              <w:t>Dashboard (staging), Basic Statistics, survey construct means. Select Survey = the SIMS survey, View = Aggregate (all modules). Read the construct means table.</w:t>
            </w:r>
          </w:p>
        </w:tc>
        <w:tc>
          <w:tcPr>
            <w:tcW w:type="dxa" w:w="4392"/>
          </w:tcPr>
          <w:p>
            <w:pPr>
              <w:spacing w:after="40"/>
            </w:pPr>
            <w:r/>
            <w:r>
              <w:rPr>
                <w:sz w:val="17"/>
              </w:rPr>
              <w:t>Four constructs with about these means (mean of student means, 100 students, local data; staging data may differ slightly): Intrinsic motivation 2.68, Identified regulation 2.77, External regulation 2.49, Amotivation 2.42.</w:t>
            </w:r>
          </w:p>
          <w:p>
            <w:pPr>
              <w:spacing w:after="40"/>
            </w:pPr>
            <w:r>
              <w:rPr>
                <w:sz w:val="17"/>
              </w:rPr>
              <w:t>Higher External Regulation / Amotivation now means MORE of it. Check one student in the per-student view: a student who answered Strongly agree to "Because I have no choice" must show a HIGH External Regulation mean, not a low one.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Competency Progression, CPI+ (three-component) for one module and look at the CPI_process and SIMS columns for 6 or more students.</w:t>
            </w:r>
          </w:p>
        </w:tc>
        <w:tc>
          <w:tcPr>
            <w:tcW w:type="dxa" w:w="4392"/>
            <w:shd w:val="clear" w:color="auto" w:fill="F3F6FB"/>
          </w:tcPr>
          <w:p>
            <w:pPr>
              <w:spacing w:after="40"/>
            </w:pPr>
            <w:r/>
            <w:r>
              <w:rPr>
                <w:sz w:val="17"/>
              </w:rPr>
              <w:t>The SIMS part is not clustered at 0.5: students who answered the intrinsic/identified items high and the external/amotivation items low are higher than students who answered the opposite. Pick two students from the raw answers and confirm the order is right: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Dashboard (staging),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real group has an External Regulation or Amotivation mean of 3.0 or more, so a RED High cannot be seen on real data; the red case is checked by J8.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S</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S</w:t>
            </w:r>
          </w:p>
        </w:tc>
        <w:tc>
          <w:tcPr>
            <w:tcW w:type="dxa" w:w="4464"/>
          </w:tcPr>
          <w:p>
            <w:pPr>
              <w:spacing w:after="40"/>
            </w:pPr>
            <w:r/>
            <w:r>
              <w:rPr>
                <w:sz w:val="17"/>
              </w:rPr>
              <w:t>Dashboard (staging), Basic Statistics. Select Survey = the Cognitive Engagement survey (SCCCES), View = Aggregate.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Same page,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S</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Cognitive Engagement survey, View = Aggregate,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J2, J3, J6, J7, J8, J9 and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v1.3 (2026-10-09)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