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to 1.6 on 2026-10-09</w:t>
            </w:r>
          </w:p>
        </w:tc>
      </w:tr>
      <w:tr>
        <w:trPr>
          <w:cantSplit w:val="true"/>
        </w:trPr>
        <w:tc>
          <w:tcPr>
            <w:tcW w:type="dxa" w:w="2880"/>
          </w:tcPr>
          <w:p>
            <w:pPr>
              <w:spacing w:after="40"/>
            </w:pPr>
            <w:r/>
            <w:r>
              <w:rPr>
                <w:b/>
                <w:sz w:val="17"/>
              </w:rPr>
              <w:t>What changed in v1.6</w:t>
            </w:r>
          </w:p>
        </w:tc>
        <w:tc>
          <w:tcPr>
            <w:tcW w:type="dxa" w:w="11232"/>
          </w:tcPr>
          <w:p>
            <w:pPr>
              <w:spacing w:after="40"/>
            </w:pPr>
            <w:r/>
            <w:r>
              <w:rPr>
                <w:sz w:val="17"/>
              </w:rPr>
              <w:t>Test J3 rewritten with exact clicks after the first run showed it could not be followed: the four overall SIMS means are NOT in a table (the table is per module); they are the 'Group mean' lines inside the collapsed panel 'How to interpret these scores'. The per-student check could not be done as written (the 'By Student' chart view is only a distribution), so it now uses the sidebar 'Single Student' filter with two named students from your local data. J6 now points to that single-student check for a real RED example. No other test changed.</w:t>
            </w:r>
          </w:p>
        </w:tc>
      </w:tr>
      <w:tr>
        <w:trPr>
          <w:cantSplit w:val="true"/>
        </w:trPr>
        <w:tc>
          <w:tcPr>
            <w:tcW w:type="dxa" w:w="2880"/>
            <w:shd w:val="clear" w:color="auto" w:fill="F3F6FB"/>
          </w:tcPr>
          <w:p>
            <w:pPr>
              <w:spacing w:after="40"/>
            </w:pPr>
            <w:r/>
            <w:r>
              <w:rPr>
                <w:b/>
                <w:sz w:val="17"/>
              </w:rPr>
              <w:t>What changed in v1.5</w:t>
            </w:r>
          </w:p>
        </w:tc>
        <w:tc>
          <w:tcPr>
            <w:tcW w:type="dxa" w:w="11232"/>
            <w:shd w:val="clear" w:color="auto" w:fill="F3F6FB"/>
          </w:tcPr>
          <w:p>
            <w:pPr>
              <w:spacing w:after="40"/>
            </w:pPr>
            <w: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trPr>
          <w:cantSplit w:val="true"/>
        </w:trPr>
        <w:tc>
          <w:tcPr>
            <w:tcW w:type="dxa" w:w="2880"/>
          </w:tcPr>
          <w:p>
            <w:pPr>
              <w:spacing w:after="40"/>
            </w:pPr>
            <w:r/>
            <w:r>
              <w:rPr>
                <w:b/>
                <w:sz w:val="17"/>
              </w:rPr>
              <w:t>What changed in v1.4</w:t>
            </w:r>
          </w:p>
        </w:tc>
        <w:tc>
          <w:tcPr>
            <w:tcW w:type="dxa" w:w="11232"/>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shd w:val="clear" w:color="auto" w:fill="F3F6FB"/>
          </w:tcPr>
          <w:p>
            <w:pPr>
              <w:spacing w:after="40"/>
            </w:pPr>
            <w:r/>
            <w:r>
              <w:rPr>
                <w:b/>
                <w:sz w:val="17"/>
              </w:rPr>
              <w:t>What changed in v1.3</w:t>
            </w:r>
          </w:p>
        </w:tc>
        <w:tc>
          <w:tcPr>
            <w:tcW w:type="dxa" w:w="11232"/>
            <w:shd w:val="clear" w:color="auto" w:fill="F3F6FB"/>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tcPr>
          <w:p>
            <w:pPr>
              <w:spacing w:after="40"/>
            </w:pPr>
            <w:r/>
            <w:r>
              <w:rPr>
                <w:b/>
                <w:sz w:val="17"/>
              </w:rPr>
              <w:t>What changed in v1.2</w:t>
            </w:r>
          </w:p>
        </w:tc>
        <w:tc>
          <w:tcPr>
            <w:tcW w:type="dxa" w:w="11232"/>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shd w:val="clear" w:color="auto" w:fill="F3F6FB"/>
          </w:tcPr>
          <w:p>
            <w:pPr>
              <w:spacing w:after="40"/>
            </w:pPr>
            <w:r/>
            <w:r>
              <w:rPr>
                <w:b/>
                <w:sz w:val="17"/>
              </w:rPr>
              <w:t>What changed in v1.1</w:t>
            </w:r>
          </w:p>
        </w:tc>
        <w:tc>
          <w:tcPr>
            <w:tcW w:type="dxa" w:w="11232"/>
            <w:shd w:val="clear" w:color="auto" w:fill="F3F6FB"/>
          </w:tcPr>
          <w:p>
            <w:pPr>
              <w:spacing w:after="40"/>
            </w:pPr>
            <w:r/>
            <w:r>
              <w:rPr>
                <w:sz w:val="17"/>
              </w:rPr>
              <w:t>Added Section J (SIMS direction check, 5 tests) after the double-reversal defect was confirmed on 2026-10-08.</w:t>
            </w:r>
          </w:p>
        </w:tc>
      </w:tr>
      <w:tr>
        <w:trPr>
          <w:cantSplit w:val="true"/>
        </w:trPr>
        <w:tc>
          <w:tcPr>
            <w:tcW w:type="dxa" w:w="2880"/>
          </w:tcPr>
          <w:p>
            <w:pPr>
              <w:spacing w:after="40"/>
            </w:pPr>
            <w:r/>
            <w:r>
              <w:rPr>
                <w:b/>
                <w:sz w:val="17"/>
              </w:rPr>
              <w:t>What is being tested</w:t>
            </w:r>
          </w:p>
        </w:tc>
        <w:tc>
          <w:tcPr>
            <w:tcW w:type="dxa" w:w="11232"/>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shd w:val="clear" w:color="auto" w:fill="F3F6FB"/>
          </w:tcPr>
          <w:p>
            <w:pPr>
              <w:spacing w:after="40"/>
            </w:pPr>
            <w:r/>
            <w:r>
              <w:rPr>
                <w:b/>
                <w:sz w:val="17"/>
              </w:rPr>
              <w:t>Code under test</w:t>
            </w:r>
          </w:p>
        </w:tc>
        <w:tc>
          <w:tcPr>
            <w:tcW w:type="dxa" w:w="11232"/>
            <w:shd w:val="clear" w:color="auto" w:fill="F3F6FB"/>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tcPr>
          <w:p>
            <w:pPr>
              <w:spacing w:after="40"/>
            </w:pPr>
            <w:r/>
            <w:r>
              <w:rPr>
                <w:b/>
                <w:sz w:val="17"/>
              </w:rPr>
              <w:t>Estimated effort</w:t>
            </w:r>
          </w:p>
        </w:tc>
        <w:tc>
          <w:tcPr>
            <w:tcW w:type="dxa" w:w="11232"/>
          </w:tcPr>
          <w:p>
            <w:pPr>
              <w:spacing w:after="40"/>
            </w:pPr>
            <w:r/>
            <w:r>
              <w:rPr>
                <w:sz w:val="17"/>
              </w:rPr>
              <w:t>About 3 to 4 hours in total. You can stop after any section and report what you have.</w:t>
            </w:r>
          </w:p>
        </w:tc>
      </w:tr>
      <w:tr>
        <w:trPr>
          <w:cantSplit w:val="true"/>
        </w:trPr>
        <w:tc>
          <w:tcPr>
            <w:tcW w:type="dxa" w:w="2880"/>
            <w:shd w:val="clear" w:color="auto" w:fill="F3F6FB"/>
          </w:tcPr>
          <w:p>
            <w:pPr>
              <w:spacing w:after="40"/>
            </w:pPr>
            <w:r/>
            <w:r>
              <w:rPr>
                <w:b/>
                <w:sz w:val="17"/>
              </w:rPr>
              <w:t>Estimated cost</w:t>
            </w:r>
          </w:p>
        </w:tc>
        <w:tc>
          <w:tcPr>
            <w:tcW w:type="dxa" w:w="11232"/>
            <w:shd w:val="clear" w:color="auto" w:fill="F3F6FB"/>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tcPr>
          <w:p>
            <w:pPr>
              <w:spacing w:after="40"/>
            </w:pPr>
            <w:r/>
            <w:r>
              <w:rPr>
                <w:b/>
                <w:sz w:val="17"/>
              </w:rPr>
              <w:t>How your results come back to me</w:t>
            </w:r>
          </w:p>
        </w:tc>
        <w:tc>
          <w:tcPr>
            <w:tcW w:type="dxa" w:w="11232"/>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C:\Users\soumy\b4ai_v0_test_data\_local_launch_main.py</w:t>
      </w:r>
    </w:p>
    <w:p>
      <w:pPr>
        <w:spacing w:after="80"/>
      </w:pPr>
      <w:r>
        <w:rPr>
          <w:b w:val="0"/>
          <w:i w:val="0"/>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Part (a), overall means. Basic Statistics tab, scroll down past the participant summary and the assessment scores to the survey section. Select Survey = SIMS (Motivation). View = Aggregate (all modules). Leave the Constructs box with all four constructs selected. Click "How to interpret these scores" (a collapsed panel under the table) to open it. For each construct read the line that starts "Group mean:".</w:t>
            </w:r>
          </w:p>
          <w:p>
            <w:pPr>
              <w:spacing w:after="40"/>
            </w:pPr>
            <w:r>
              <w:rPr>
                <w:sz w:val="17"/>
              </w:rPr>
              <w:t>Part (b), per-module table. Just above that panel is "Summary Statistics per Construct": one row per module and construct (Module, Construct, N, Mean). It always shows every module and has no overall row.</w:t>
            </w:r>
          </w:p>
          <w:p>
            <w:pPr>
              <w:spacing w:after="40"/>
            </w:pPr>
            <w:r>
              <w:rPr>
                <w:sz w:val="17"/>
              </w:rPr>
              <w:t>Part (c), direction check on single students. In the left sidebar set Single Student = ADalla. In the survey section keep Select Survey = SIMS (Motivation), set View = Per module and Module = Module 2, and open "How to interpret these scores". Then set Single Student = Aiworld2026, Module = Module 1, and look again. When finished set Single Student back to All students.</w:t>
            </w:r>
          </w:p>
        </w:tc>
        <w:tc>
          <w:tcPr>
            <w:tcW w:type="dxa" w:w="4392"/>
          </w:tcPr>
          <w:p>
            <w:pPr>
              <w:spacing w:after="40"/>
            </w:pPr>
            <w:r/>
            <w:r>
              <w:rPr>
                <w:sz w:val="17"/>
              </w:rPr>
              <w:t>(a) Group mean lines (all students, your local data): Intrinsic Motivation (2.68), Identified Regulation (2.77), External Regulation (2.49), Amotivation (2.42). Each line is amber "Moderate" because each mean is between 2.0 and 3.0.</w:t>
            </w:r>
          </w:p>
          <w:p>
            <w:pPr>
              <w:spacing w:after="40"/>
            </w:pPr>
            <w:r>
              <w:rPr>
                <w:sz w:val="17"/>
              </w:rPr>
              <w:t>(b) With all students and Module 1 rows (N about 100): Amotivation 2.34, External Regulation 2.48, Identified Regulation 2.67, Intrinsic Motivation 2.64.</w:t>
            </w:r>
          </w:p>
          <w:p>
            <w:pPr>
              <w:spacing w:after="40"/>
            </w:pPr>
            <w:r>
              <w:rPr>
                <w:sz w:val="17"/>
              </w:rPr>
              <w:t>(c) ADalla, Module 2: this student answered Strongly agree to all four External Regulation items (including "Because I have no choice"). External Regulation must show a RED "High (4.00)" and Amotivation a RED "High (3.67)" with the note "Higher = MORE ... (worse)". Aiworld2026, Module 1: Strongly disagree to all four External Regulation items and all three Amotivation items. External Regulation must show a GREEN "Low (1.00)" and Amotivation a GREEN "Low (1.00)" ("NOT externally pressured ...").</w:t>
            </w:r>
          </w:p>
          <w:p>
            <w:pPr>
              <w:spacing w:after="40"/>
            </w:pPr>
            <w:r>
              <w:rPr>
                <w:sz w:val="17"/>
              </w:rPr>
              <w:t>A high External Regulation mean for the student who disagreed, or a low one for the student who agreed, is a Fail (the old reversed direction).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Competency Progression, CPI+ (three-component) for one module and look at the CPI_process and SIMS columns for 6 or more students.</w:t>
            </w:r>
          </w:p>
        </w:tc>
        <w:tc>
          <w:tcPr>
            <w:tcW w:type="dxa" w:w="4392"/>
            <w:shd w:val="clear" w:color="auto" w:fill="F3F6FB"/>
          </w:tcPr>
          <w:p>
            <w:pPr>
              <w:spacing w:after="40"/>
            </w:pPr>
            <w:r/>
            <w:r>
              <w:rPr>
                <w:sz w:val="17"/>
              </w:rPr>
              <w:t>The SIMS part is not clustered at 0.5: students who answered the intrinsic/identified items high and the external/amotivation items low are higher than students who answered the opposite. Pick two students from the raw answers and confirm the order is right: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whole group has an External Regulation or Amotivation mean of 3.0 or more, so a RED High on a group cannot be seen; the single-student case in J3 part (c) shows RED, and J8 checks it in code.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the Cognitive Engagement survey (SCCCES), View = Aggregate.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Cognitive Engagement survey, View = Aggregate,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J2, J3, J6, J7, J8, J9 and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v1.6 (2026-10-09)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