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asics4ai-programmers-guide"/>
    <w:p>
      <w:pPr>
        <w:pStyle w:val="Heading1"/>
      </w:pPr>
      <w:r>
        <w:t xml:space="preserve">Basics4AI — Programmer’s Guide</w:t>
      </w:r>
    </w:p>
    <w:p>
      <w:pPr>
        <w:pStyle w:val="FirstParagraph"/>
      </w:pPr>
      <w:r>
        <w:rPr>
          <w:i/>
          <w:iCs/>
        </w:rPr>
        <w:t xml:space="preserve">Version 1.0 — 2026-07-11. Companion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docs/solution-architecture-document.md</w:t>
      </w:r>
      <w:r>
        <w:rPr>
          <w:i/>
          <w:iCs/>
        </w:rPr>
        <w:t xml:space="preserve"> </w:t>
      </w:r>
      <w:r>
        <w:rPr>
          <w:i/>
          <w:iCs/>
        </w:rPr>
        <w:t xml:space="preserve">— read that first for the high-level system picture. This document is for a developer who needs to run, extend, or operate the platform.</w:t>
      </w:r>
    </w:p>
    <w:p>
      <w:r>
        <w:pict>
          <v:rect style="width:0;height:1.5pt" o:hralign="center" o:hrstd="t" o:hr="t"/>
        </w:pict>
      </w:r>
    </w:p>
    <w:bookmarkStart w:id="13" w:name="local-development-setup"/>
    <w:p>
      <w:pPr>
        <w:pStyle w:val="Heading2"/>
      </w:pPr>
      <w:r>
        <w:t xml:space="preserve">1. Local Development Setup</w:t>
      </w:r>
    </w:p>
    <w:bookmarkStart w:id="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b4ai_v0</w:t>
      </w:r>
      <w:r>
        <w:t xml:space="preserve"> </w:t>
      </w:r>
      <w:r>
        <w:t xml:space="preserve">conda environment (Python 3.10, matching the Dockerfile’s</w:t>
      </w:r>
      <w:r>
        <w:t xml:space="preserve"> </w:t>
      </w:r>
      <w:r>
        <w:rPr>
          <w:rStyle w:val="VerbatimChar"/>
        </w:rPr>
        <w:t xml:space="preserve">python:3.10-slim</w:t>
      </w:r>
      <w:r>
        <w:t xml:space="preserve">). This is the known-working local environment — a separate env,</w:t>
      </w:r>
      <w:r>
        <w:t xml:space="preserve"> </w:t>
      </w:r>
      <w:r>
        <w:rPr>
          <w:rStyle w:val="VerbatimChar"/>
        </w:rPr>
        <w:t xml:space="preserve">basics4aiv1</w:t>
      </w:r>
      <w:r>
        <w:t xml:space="preserve">, exists and throws unexplained errors; avoid it.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repo root (gitignored, never committed). At minimum: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RID_SALT</w:t>
      </w:r>
      <w:r>
        <w:t xml:space="preserve"> </w:t>
      </w:r>
      <w:r>
        <w:t xml:space="preserve">— any string ≥32 characters, used to derive research IDs consistently.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— only required if you’re touching the LLM-assisted analysis features (ITA/DTA pipelines); other features work without them.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QUIZ_MODE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"random"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"research"</w:t>
      </w:r>
      <w:r>
        <w:t xml:space="preserve"> </w:t>
      </w:r>
      <w:r>
        <w:t xml:space="preserve">(controls MCQ question-bank selection).</w:t>
      </w:r>
    </w:p>
    <w:bookmarkEnd w:id="9"/>
    <w:bookmarkStart w:id="10" w:name="running-the-app"/>
    <w:p>
      <w:pPr>
        <w:pStyle w:val="Heading3"/>
      </w:pPr>
      <w:r>
        <w:t xml:space="preserve">Running the app</w:t>
      </w:r>
    </w:p>
    <w:p>
      <w:pPr>
        <w:pStyle w:val="FirstParagraph"/>
      </w:pPr>
      <w:r>
        <w:t xml:space="preserve">With the conda environment activated:</w:t>
      </w:r>
    </w:p>
    <w:p>
      <w:pPr>
        <w:pStyle w:val="SourceCode"/>
      </w:pPr>
      <w:r>
        <w:rPr>
          <w:rStyle w:val="VerbatimChar"/>
        </w:rPr>
        <w:t xml:space="preserve">streamlit run streamlit_app/app.py</w:t>
      </w:r>
    </w:p>
    <w:p>
      <w:pPr>
        <w:pStyle w:val="FirstParagraph"/>
      </w:pPr>
      <w:r>
        <w:t xml:space="preserve">That’s it — no separate database initialization step is required.</w:t>
      </w:r>
      <w:r>
        <w:t xml:space="preserve"> </w:t>
      </w:r>
      <w:r>
        <w:rPr>
          <w:rStyle w:val="VerbatimChar"/>
        </w:rPr>
        <w:t xml:space="preserve">streamlit_app/app.py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init_auth_db()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init_login_attempts_table()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register_all_modules()</w:t>
      </w:r>
      <w:r>
        <w:t xml:space="preserve"> </w:t>
      </w:r>
      <w:r>
        <w:t xml:space="preserve">automatically on first request. Fresh SQLite files will be created in the repo root if none exist.</w:t>
      </w:r>
    </w:p>
    <w:bookmarkEnd w:id="10"/>
    <w:bookmarkStart w:id="11" w:name="X887dd1ec50ed3f644bd9a4b7184a3c6b0550bed"/>
    <w:p>
      <w:pPr>
        <w:pStyle w:val="Heading3"/>
      </w:pPr>
      <w:r>
        <w:t xml:space="preserve">The R/rpy2 caveat — you probably don’t need</w:t>
      </w:r>
      <w:r>
        <w:t xml:space="preserve"> </w:t>
      </w:r>
      <w:r>
        <w:rPr>
          <w:rStyle w:val="VerbatimChar"/>
        </w:rPr>
        <w:t xml:space="preserve">launch.py</w:t>
      </w:r>
    </w:p>
    <w:p>
      <w:pPr>
        <w:pStyle w:val="FirstParagraph"/>
      </w:pPr>
      <w:r>
        <w:rPr>
          <w:rStyle w:val="VerbatimChar"/>
        </w:rPr>
        <w:t xml:space="preserve">launch.py</w:t>
      </w:r>
      <w:r>
        <w:t xml:space="preserve"> </w:t>
      </w:r>
      <w:r>
        <w:t xml:space="preserve">exists solely to initialize R on the main thread before Streamlit starts, working around an rpy2/Ctrl-C interaction bug on Windows.</w:t>
      </w:r>
      <w:r>
        <w:t xml:space="preserve"> </w:t>
      </w:r>
      <w:r>
        <w:rPr>
          <w:b/>
          <w:bCs/>
        </w:rPr>
        <w:t xml:space="preserve">It is not needed for normal development.</w:t>
      </w:r>
      <w:r>
        <w:t xml:space="preserve"> </w:t>
      </w:r>
      <w:r>
        <w:t xml:space="preserve">The actual IRT (Item Response Theory) analysis feature no longer uses R at all — it was migrated to the pure-Python</w:t>
      </w:r>
      <w:r>
        <w:t xml:space="preserve"> </w:t>
      </w:r>
      <w:r>
        <w:rPr>
          <w:rStyle w:val="VerbatimChar"/>
        </w:rPr>
        <w:t xml:space="preserve">girth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core/analytics/irt/irt_runner.py</w:t>
      </w:r>
      <w:r>
        <w:t xml:space="preserve">), and the R integration is vestigial: no R is installed in the Docker image,</w:t>
      </w:r>
      <w:r>
        <w:t xml:space="preserve"> </w:t>
      </w:r>
      <w:r>
        <w:rPr>
          <w:rStyle w:val="VerbatimChar"/>
        </w:rPr>
        <w:t xml:space="preserve">rpy2</w:t>
      </w:r>
      <w:r>
        <w:t xml:space="preserve"> </w:t>
      </w:r>
      <w:r>
        <w:t xml:space="preserve">isn’t even a listed dependency, and the app degrades gracefully without it. Only reach for</w:t>
      </w:r>
      <w:r>
        <w:t xml:space="preserve"> </w:t>
      </w:r>
      <w:r>
        <w:rPr>
          <w:rStyle w:val="VerbatimChar"/>
        </w:rPr>
        <w:t xml:space="preserve">launch.py</w:t>
      </w:r>
      <w:r>
        <w:t xml:space="preserve"> </w:t>
      </w:r>
      <w:r>
        <w:t xml:space="preserve">if you’re specifically debugging something in the old R code path (unlikely to ever be necessary going forward).</w:t>
      </w:r>
    </w:p>
    <w:bookmarkEnd w:id="11"/>
    <w:bookmarkStart w:id="12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There is currently</w:t>
      </w:r>
      <w:r>
        <w:t xml:space="preserve"> </w:t>
      </w:r>
      <w:r>
        <w:rPr>
          <w:b/>
          <w:bCs/>
        </w:rPr>
        <w:t xml:space="preserve">no automated test suite</w:t>
      </w:r>
      <w:r>
        <w:t xml:space="preserve"> </w:t>
      </w:r>
      <w:r>
        <w:t xml:space="preserve">in the working tree, and</w:t>
      </w:r>
      <w:r>
        <w:t xml:space="preserve"> </w:t>
      </w:r>
      <w:r>
        <w:rPr>
          <w:b/>
          <w:bCs/>
        </w:rPr>
        <w:t xml:space="preserve">no CI job runs tests on push/PR</w:t>
      </w:r>
      <w:r>
        <w:t xml:space="preserve"> </w:t>
      </w:r>
      <w:r>
        <w:t xml:space="preserve">— the only GitHub Actions workflow is the nightly production-restart cron (§9). A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directory with ~21 manual verification scripts (organized</w:t>
      </w:r>
      <w:r>
        <w:t xml:space="preserve"> </w:t>
      </w:r>
      <w:r>
        <w:rPr>
          <w:rStyle w:val="VerbatimChar"/>
        </w:rPr>
        <w:t xml:space="preserve">phase0</w:t>
      </w:r>
      <w:r>
        <w:t xml:space="preserve">–</w:t>
      </w:r>
      <w:r>
        <w:rPr>
          <w:rStyle w:val="VerbatimChar"/>
        </w:rPr>
        <w:t xml:space="preserve">phase4</w:t>
      </w:r>
      <w:r>
        <w:t xml:space="preserve">, one per analytics module) existed earlier in the project’s history and was removed; git history preserves them if a future developer wants to resurrect the pattern (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→ find the commit that deleted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git show &lt;parent-commit&gt;:tests/phase0/test_binary_mcq.py</w:t>
      </w:r>
      <w:r>
        <w:t xml:space="preserve"> </w:t>
      </w:r>
      <w:r>
        <w:t xml:space="preserve">to recover an example). These were plain Python scripts (</w:t>
      </w:r>
      <w:r>
        <w:rPr>
          <w:rStyle w:val="VerbatimChar"/>
        </w:rPr>
        <w:t xml:space="preserve">python tests/phase0/test_binary_mcq.py</w:t>
      </w:r>
      <w:r>
        <w:t xml:space="preserve">), not pytest-collected tests, despite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being listed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BodyText"/>
      </w:pPr>
      <w:r>
        <w:t xml:space="preserve">What does exist:</w:t>
      </w:r>
      <w:r>
        <w:t xml:space="preserve"> </w:t>
      </w:r>
      <w:r>
        <w:rPr>
          <w:rStyle w:val="VerbatimChar"/>
          <w:b/>
          <w:bCs/>
        </w:rPr>
        <w:t xml:space="preserve">smoke_test.py</w:t>
      </w:r>
      <w:r>
        <w:t xml:space="preserve"> </w:t>
      </w:r>
      <w:r>
        <w:t xml:space="preserve">(repo root, gitignored, local-only) — run</w:t>
      </w:r>
      <w:r>
        <w:t xml:space="preserve"> </w:t>
      </w:r>
      <w:r>
        <w:rPr>
          <w:rStyle w:val="VerbatimChar"/>
        </w:rPr>
        <w:t xml:space="preserve">python smoke_test.py</w:t>
      </w:r>
      <w:r>
        <w:t xml:space="preserve"> </w:t>
      </w:r>
      <w:r>
        <w:t xml:space="preserve">before manual testing. It checks: both databases are reachable,</w:t>
      </w:r>
      <w:r>
        <w:t xml:space="preserve"> </w:t>
      </w:r>
      <w:r>
        <w:rPr>
          <w:rStyle w:val="VerbatimChar"/>
        </w:rPr>
        <w:t xml:space="preserve">canonical_loader</w:t>
      </w:r>
      <w:r>
        <w:t xml:space="preserve"> </w:t>
      </w:r>
      <w:r>
        <w:t xml:space="preserve">runs without error,</w:t>
      </w:r>
      <w:r>
        <w:t xml:space="preserve"> </w:t>
      </w:r>
      <w:r>
        <w:rPr>
          <w:rStyle w:val="VerbatimChar"/>
        </w:rPr>
        <w:t xml:space="preserve">research.db</w:t>
      </w:r>
      <w:r>
        <w:t xml:space="preserve">’s cache table exists, the</w:t>
      </w:r>
      <w:r>
        <w:t xml:space="preserve"> </w:t>
      </w:r>
      <w:r>
        <w:rPr>
          <w:rStyle w:val="VerbatimChar"/>
        </w:rPr>
        <w:t xml:space="preserve">rid</w:t>
      </w:r>
      <w:r>
        <w:t xml:space="preserve"> </w:t>
      </w:r>
      <w:r>
        <w:t xml:space="preserve">migration columns are present (and reports coverage), and SQLite is actually in WAL mode with an adequate busy timeout. Exit code 0 means all checks passed.</w:t>
      </w:r>
    </w:p>
    <w:p>
      <w:pPr>
        <w:pStyle w:val="BodyText"/>
      </w:pPr>
      <w:r>
        <w:rPr>
          <w:b/>
          <w:bCs/>
        </w:rPr>
        <w:t xml:space="preserve">Recommendation for future work:</w:t>
      </w:r>
      <w:r>
        <w:t xml:space="preserve"> </w:t>
      </w:r>
      <w:r>
        <w:t xml:space="preserve">given there’s no automated regression coverage today, any nontrivial change should be manually verified against a copy of real data (not an empty database) before merging — this is the discipline already established for the pilot’s change-safety workflow (§3).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environment-variables-reference"/>
    <w:p>
      <w:pPr>
        <w:pStyle w:val="Heading2"/>
      </w:pPr>
      <w:r>
        <w:t xml:space="preserve">2. Environment Variables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— the Postgres path is scaffolding only, not functional (</w:t>
            </w:r>
            <w:r>
              <w:rPr>
                <w:rStyle w:val="VerbatimChar"/>
              </w:rPr>
              <w:t xml:space="preserve">psycopg2</w:t>
            </w:r>
            <w:r>
              <w:t xml:space="preserve"> </w:t>
            </w:r>
            <w:r>
              <w:t xml:space="preserve">isn’t installed)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core/db_utils.py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SQLITE_PATH</w:t>
            </w:r>
          </w:p>
        </w:tc>
        <w:tc>
          <w:tcPr/>
          <w:p>
            <w:pPr>
              <w:pStyle w:val="Compact"/>
            </w:pPr>
            <w:r>
              <w:t xml:space="preserve">Override for</w:t>
            </w:r>
            <w:r>
              <w:t xml:space="preserve"> </w:t>
            </w:r>
            <w:r>
              <w:rPr>
                <w:rStyle w:val="VerbatimChar"/>
              </w:rPr>
              <w:t xml:space="preserve">responses.db</w:t>
            </w:r>
            <w:r>
              <w:t xml:space="preserve">’s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core/db_utils.py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core/admin/research_service.py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core/admin/diagnostics_service.py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core/admin/system_service.py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USERS_DB_PATH</w:t>
            </w:r>
          </w:p>
        </w:tc>
        <w:tc>
          <w:tcPr/>
          <w:p>
            <w:pPr>
              <w:pStyle w:val="Compact"/>
            </w:pPr>
            <w:r>
              <w:t xml:space="preserve">Override for</w:t>
            </w:r>
            <w:r>
              <w:t xml:space="preserve"> </w:t>
            </w:r>
            <w:r>
              <w:rPr>
                <w:rStyle w:val="VerbatimChar"/>
              </w:rPr>
              <w:t xml:space="preserve">users.db</w:t>
            </w:r>
            <w:r>
              <w:t xml:space="preserve">’s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auth/login_security.py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auth/user_manager.py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core/admin/user_service.py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core/admin/diagnostics_service.py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core/admin/system_service.py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</w:pPr>
            <w:r>
              <w:t xml:space="preserve">Base directory for SQLite files (used on Railway, pointing at the mounted volume)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core/db_utils.py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RESEARCH_DB_PATH</w:t>
            </w:r>
          </w:p>
        </w:tc>
        <w:tc>
          <w:tcPr/>
          <w:p>
            <w:pPr>
              <w:pStyle w:val="Compact"/>
            </w:pPr>
            <w:r>
              <w:t xml:space="preserve">Intended location of</w:t>
            </w:r>
            <w:r>
              <w:t xml:space="preserve"> </w:t>
            </w:r>
            <w:r>
              <w:rPr>
                <w:rStyle w:val="VerbatimChar"/>
              </w:rPr>
              <w:t xml:space="preserve">research.db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actually read by any app code</w:t>
            </w:r>
            <w:r>
              <w:t xml:space="preserve">, only by</w:t>
            </w:r>
            <w:r>
              <w:t xml:space="preserve"> </w:t>
            </w:r>
            <w:r>
              <w:rPr>
                <w:rStyle w:val="VerbatimChar"/>
              </w:rPr>
              <w:t xml:space="preserve">smoke_test.py</w:t>
            </w:r>
            <w:r>
              <w:t xml:space="preserve">. See the Known Limitations appendix in the Solution Architecture Document.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smoke_test.py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PostgreSQL connection params — unused until the</w:t>
            </w:r>
            <w:r>
              <w:t xml:space="preserve"> </w:t>
            </w:r>
            <w:r>
              <w:rPr>
                <w:rStyle w:val="VerbatimChar"/>
              </w:rPr>
              <w:t xml:space="preserve">DB_TYPE=postgres</w:t>
            </w:r>
            <w:r>
              <w:t xml:space="preserve"> </w:t>
            </w:r>
            <w:r>
              <w:t xml:space="preserve">path is made functional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core/db_utils.py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LOGIN_MAX_ATTEMPTS</w:t>
            </w:r>
          </w:p>
        </w:tc>
        <w:tc>
          <w:tcPr/>
          <w:p>
            <w:pPr>
              <w:pStyle w:val="Compact"/>
            </w:pPr>
            <w:r>
              <w:t xml:space="preserve">Failed-login threshold before lockout (default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auth/login_security.py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LOGIN_LOCKOUT_MINUTES</w:t>
            </w:r>
          </w:p>
        </w:tc>
        <w:tc>
          <w:tcPr/>
          <w:p>
            <w:pPr>
              <w:pStyle w:val="Compact"/>
            </w:pPr>
            <w:r>
              <w:t xml:space="preserve">Lockout duration in minutes (default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auth/login_security.py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LOGIN_WINDOW_MINUTES</w:t>
            </w:r>
          </w:p>
        </w:tc>
        <w:tc>
          <w:tcPr/>
          <w:p>
            <w:pPr>
              <w:pStyle w:val="Compact"/>
            </w:pPr>
            <w:r>
              <w:t xml:space="preserve">Rolling window for counting failures (default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auth/login_security.py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BACKUP_INTERVAL_HOURS</w:t>
            </w:r>
          </w:p>
        </w:tc>
        <w:tc>
          <w:tcPr/>
          <w:p>
            <w:pPr>
              <w:pStyle w:val="Compact"/>
            </w:pPr>
            <w:r>
              <w:t xml:space="preserve">Auto-backup scheduler interval (default 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core/admin/system_service.py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RID_SALT</w:t>
            </w:r>
          </w:p>
        </w:tc>
        <w:tc>
          <w:tcPr/>
          <w:p>
            <w:pPr>
              <w:pStyle w:val="Compact"/>
            </w:pPr>
            <w:r>
              <w:t xml:space="preserve">HMAC salt for deriving research IDs from usernames — see §4’s schema notes and the post-pilot roadmap for the current state of RID adoption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migrations/backfill_rids.py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auth/user_manager.get_user_rid</w:t>
            </w:r>
            <w:r>
              <w:t xml:space="preserve"> </w:t>
            </w:r>
            <w:r>
              <w:t xml:space="preserve">call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RAILWAY_ENVIRONMENT</w:t>
            </w:r>
          </w:p>
        </w:tc>
        <w:tc>
          <w:tcPr/>
          <w:p>
            <w:pPr>
              <w:pStyle w:val="Compact"/>
            </w:pPr>
            <w:r>
              <w:t xml:space="preserve">Set automatically by Railway — used to skip loading a 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in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streamlit_app/app.py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"random"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"research"</w:t>
            </w:r>
            <w:r>
              <w:t xml:space="preserve"> </w:t>
            </w:r>
            <w:r>
              <w:t xml:space="preserve">— controls MCQ question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utils/quiz_mode.py</w:t>
            </w:r>
            <w:r>
              <w:t xml:space="preserve">, module render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QUIZ_QUESTION_IDS_MODULE_{1-7}</w:t>
            </w:r>
          </w:p>
        </w:tc>
        <w:tc>
          <w:tcPr/>
          <w:p>
            <w:pPr>
              <w:pStyle w:val="Compact"/>
            </w:pPr>
            <w:r>
              <w:t xml:space="preserve">Fixed per-module question ID lists, used only when</w:t>
            </w:r>
            <w:r>
              <w:t xml:space="preserve"> </w:t>
            </w:r>
            <w:r>
              <w:rPr>
                <w:rStyle w:val="VerbatimChar"/>
              </w:rPr>
              <w:t xml:space="preserve">QUIZ_MODE=research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utils/quiz_mode.py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LLM provider credentials for the qualitative analysis 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core/analytics/llm/llm_clients.py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RPY2_CFFI_MODE</w:t>
            </w:r>
          </w:p>
        </w:tc>
        <w:tc>
          <w:tcPr/>
          <w:p>
            <w:pPr>
              <w:pStyle w:val="Compact"/>
            </w:pPr>
            <w:r>
              <w:t xml:space="preserve">Vestigial — R integration path, not needed in normal use (see §1)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streamlit_app/app.py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core/analytics/r_utils.py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launch.py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RAILWAY_TOKEN</w:t>
            </w:r>
          </w:p>
        </w:tc>
        <w:tc>
          <w:tcPr/>
          <w:p>
            <w:pPr>
              <w:pStyle w:val="Compact"/>
            </w:pPr>
            <w:r>
              <w:t xml:space="preserve">Railway CLI auth for the nightly restart — a GitHub Actions secret, never read by application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.github/workflows/scheduled-restart.yml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7352c5016494084b9c8ac0afce1d0acfe4910ac"/>
    <w:p>
      <w:pPr>
        <w:pStyle w:val="Heading2"/>
      </w:pPr>
      <w:r>
        <w:t xml:space="preserve">3. Deployment Workflow — the Standard Change-Safety Procedure</w:t>
      </w:r>
    </w:p>
    <w:p>
      <w:pPr>
        <w:pStyle w:val="FirstParagraph"/>
      </w:pPr>
      <w:r>
        <w:t xml:space="preserve">This is the procedure used throughout the pilot-readiness work and should be the default for any future change, however small it looks: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and test locally</w:t>
      </w:r>
      <w:r>
        <w:t xml:space="preserve"> </w:t>
      </w:r>
      <w:r>
        <w:t xml:space="preserve">against a realistic copy of data (not an empty database) —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first, then manual verification of the actual feature in a browser.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to a disposable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git branch.</w:t>
      </w:r>
      <w:r>
        <w:t xml:space="preserve"> </w:t>
      </w:r>
      <w:r>
        <w:t xml:space="preserve">Never commit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to Railway’s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and re-verify there. Note: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‘s Railway service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separately wired to auto-deploy from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branch — both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environments’</w:t>
      </w:r>
      <w:r>
        <w:t xml:space="preserve"> </w:t>
      </w:r>
      <w:r>
        <w:t xml:space="preserve">services deploy from whatever’s pushed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To get code onto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without touching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use a manual deploy:</w:t>
      </w:r>
      <w:r>
        <w:t xml:space="preserve"> </w:t>
      </w:r>
      <w:r>
        <w:rPr>
          <w:rStyle w:val="VerbatimChar"/>
        </w:rPr>
        <w:t xml:space="preserve">railway environment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 service basics4ai-staging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railway up --ci --environment test --service basics4ai-staging</w:t>
      </w:r>
      <w:r>
        <w:t xml:space="preserve">. (The Railway CLI can report a spurious</w:t>
      </w:r>
      <w:r>
        <w:t xml:space="preserve"> </w:t>
      </w:r>
      <w:r>
        <w:t xml:space="preserve">“reqwest error / operation timed out”</w:t>
      </w:r>
      <w:r>
        <w:t xml:space="preserve"> </w:t>
      </w:r>
      <w:r>
        <w:t xml:space="preserve">on this command even when the deploy actually succeeded — always confirm with</w:t>
      </w:r>
      <w:r>
        <w:t xml:space="preserve"> </w:t>
      </w:r>
      <w:r>
        <w:rPr>
          <w:rStyle w:val="VerbatimChar"/>
        </w:rPr>
        <w:t xml:space="preserve">railway status --json</w:t>
      </w:r>
      <w:r>
        <w:t xml:space="preserve"> </w:t>
      </w:r>
      <w:r>
        <w:t xml:space="preserve">rather than trusting the CLI’s exit code.)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after both local and live-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-environment verification, merge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</w:t>
      </w:r>
      <w:r>
        <w:t xml:space="preserve"> </w:t>
      </w:r>
      <w:r>
        <w:t xml:space="preserve">Do a dry-run conflict check first (</w:t>
      </w:r>
      <w:r>
        <w:rPr>
          <w:rStyle w:val="VerbatimChar"/>
        </w:rPr>
        <w:t xml:space="preserve">git merge-tree $(git merge-base main test) main test</w:t>
      </w:r>
      <w:r>
        <w:t xml:space="preserve">) before the real merge.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origin/main</w:t>
      </w:r>
      <w:r>
        <w:rPr>
          <w:b/>
          <w:bCs/>
        </w:rPr>
        <w:t xml:space="preserve">.</w:t>
      </w:r>
      <w:r>
        <w:t xml:space="preserve"> </w:t>
      </w:r>
      <w:r>
        <w:t xml:space="preserve">This automatically triggers a production redeploy — there is no separate approval gate on Railway’s side, so this push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production deploy. Treat it accordingly: take a fresh production database backup immediately beforehand (see §7’s backup tooling), and review the full diff one more time before pushing.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 production after deploy: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railway status --json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hit the health endpoint (</w:t>
      </w:r>
      <w:r>
        <w:rPr>
          <w:rStyle w:val="VerbatimChar"/>
        </w:rPr>
        <w:t xml:space="preserve">https://basics4ai-staging-production.up.railway.app/_stcore/health</w:t>
      </w:r>
      <w:r>
        <w:t xml:space="preserve"> </w:t>
      </w:r>
      <w:r>
        <w:t xml:space="preserve">should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), check</w:t>
      </w:r>
      <w:r>
        <w:t xml:space="preserve"> </w:t>
      </w:r>
      <w:r>
        <w:rPr>
          <w:rStyle w:val="VerbatimChar"/>
        </w:rPr>
        <w:t xml:space="preserve">railway logs</w:t>
      </w:r>
      <w:r>
        <w:t xml:space="preserve"> </w:t>
      </w:r>
      <w:r>
        <w:t xml:space="preserve">for a clean startup with no tracebacks, and — for any change affecting module registration or similarly session-scoped initialization — open the production URL in a real browser (not just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since that logic only runs on an actual Streamlit websocket session, not a plain HTTP request.</w:t>
      </w:r>
    </w:p>
    <w:p>
      <w:pPr>
        <w:pStyle w:val="FirstParagraph"/>
      </w:pPr>
      <w:r>
        <w:t xml:space="preserve">Both Railway environments (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 share one service definition and only differ in their attached volume and environment variables — this is why a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deploys to both simultaneously, and why steps 4-5 above deserve real caution.</w:t>
      </w:r>
    </w:p>
    <w:p>
      <w:r>
        <w:pict>
          <v:rect style="width:0;height:1.5pt" o:hralign="center" o:hrstd="t" o:hr="t"/>
        </w:pict>
      </w:r>
    </w:p>
    <w:bookmarkEnd w:id="15"/>
    <w:bookmarkStart w:id="20" w:name="database-schema-reference"/>
    <w:p>
      <w:pPr>
        <w:pStyle w:val="Heading2"/>
      </w:pPr>
      <w:r>
        <w:t xml:space="preserve">4. Database Schema Reference</w:t>
      </w:r>
    </w:p>
    <w:p>
      <w:pPr>
        <w:pStyle w:val="FirstParagraph"/>
      </w:pPr>
      <w:r>
        <w:t xml:space="preserve">Full table-by-table detail. See the Solution Architecture Document §5 for the narrative version; this is the exhaustive reference.</w:t>
      </w:r>
    </w:p>
    <w:bookmarkStart w:id="16" w:name="responses.db"/>
    <w:p>
      <w:pPr>
        <w:pStyle w:val="Heading3"/>
      </w:pPr>
      <w:r>
        <w:rPr>
          <w:rStyle w:val="VerbatimChar"/>
        </w:rPr>
        <w:t xml:space="preserve">responses.db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instrument_name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One row per question answered.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  <w:r>
              <w:t xml:space="preserve"> </w:t>
            </w:r>
            <w:r>
              <w:t xml:space="preserve">column exists but is</w:t>
            </w:r>
            <w:r>
              <w:t xml:space="preserve"> </w:t>
            </w:r>
            <w:r>
              <w:rPr>
                <w:b/>
                <w:bCs/>
              </w:rPr>
              <w:t xml:space="preserve">not populated for any existing row</w:t>
            </w:r>
            <w:r>
              <w:t xml:space="preserve"> </w:t>
            </w:r>
            <w:r>
              <w:t xml:space="preserve">(0/758 as of this writing) — see the post-pilot roadmap for the RID-adoption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t xml:space="preserve">Unique on</w:t>
            </w:r>
            <w:r>
              <w:t xml:space="preserve"> </w:t>
            </w:r>
            <w:r>
              <w:rPr>
                <w:rStyle w:val="VerbatimChar"/>
              </w:rPr>
              <w:t xml:space="preserve">(user_id, survey_key)</w:t>
            </w:r>
            <w:r>
              <w:t xml:space="preserve"> </w:t>
            </w:r>
            <w:r>
              <w:t xml:space="preserve">— upserted, not appended.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assessment_code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t xml:space="preserve">Unique on</w:t>
            </w:r>
            <w:r>
              <w:t xml:space="preserve"> </w:t>
            </w:r>
            <w:r>
              <w:rPr>
                <w:rStyle w:val="VerbatimChar"/>
              </w:rPr>
              <w:t xml:space="preserve">(user_id, assessment_code)</w:t>
            </w:r>
            <w:r>
              <w:t xml:space="preserve"> </w:t>
            </w:r>
            <w:r>
              <w:t xml:space="preserve">— upserted, not appended.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instrument_key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the unlock source of truth.</w:t>
            </w:r>
            <w:r>
              <w:t xml:space="preserve"> </w:t>
            </w:r>
            <w:r>
              <w:t xml:space="preserve">Unique on</w:t>
            </w:r>
            <w:r>
              <w:t xml:space="preserve"> </w:t>
            </w:r>
            <w:r>
              <w:rPr>
                <w:rStyle w:val="VerbatimChar"/>
              </w:rPr>
              <w:t xml:space="preserve">(user_id, module_id, instrument_key)</w:t>
            </w:r>
            <w:r>
              <w:t xml:space="preserve">; writes use</w:t>
            </w:r>
            <w:r>
              <w:t xml:space="preserve"> </w:t>
            </w:r>
            <w:r>
              <w:rPr>
                <w:rStyle w:val="VerbatimChar"/>
              </w:rPr>
              <w:t xml:space="preserve">INSERT OR IGNORE</w:t>
            </w:r>
            <w:r>
              <w:t xml:space="preserve">, making completion marking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uploaded_by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Interview transcript storage for qualitative analysis.</w:t>
            </w:r>
            <w:r>
              <w:t xml:space="preserve"> </w:t>
            </w:r>
            <w:r>
              <w:rPr>
                <w:rStyle w:val="VerbatimChar"/>
              </w:rPr>
              <w:t xml:space="preserve">participant_id</w:t>
            </w:r>
            <w:r>
              <w:t xml:space="preserve"> </w:t>
            </w:r>
            <w:r>
              <w:t xml:space="preserve">is who the transcript is about;</w:t>
            </w:r>
            <w:r>
              <w:t xml:space="preserve"> </w:t>
            </w:r>
            <w:r>
              <w:rPr>
                <w:rStyle w:val="VerbatimChar"/>
              </w:rPr>
              <w:t xml:space="preserve">uploaded_by</w:t>
            </w:r>
            <w:r>
              <w:t xml:space="preserve"> </w:t>
            </w:r>
            <w:r>
              <w:t xml:space="preserve">is the admin who uploaded it — these must never be conflated (the former is research-subject data, the latter is audit provenance).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ita_runs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ita_results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(UUID)</w:t>
            </w:r>
          </w:p>
        </w:tc>
        <w:tc>
          <w:tcPr/>
          <w:p>
            <w:pPr>
              <w:pStyle w:val="Compact"/>
            </w:pPr>
            <w:r>
              <w:t xml:space="preserve">Inductive Thematic Analysis pipeline outputs.</w:t>
            </w:r>
            <w:r>
              <w:t xml:space="preserve"> </w:t>
            </w:r>
            <w:r>
              <w:rPr>
                <w:rStyle w:val="VerbatimChar"/>
              </w:rPr>
              <w:t xml:space="preserve">ita_results</w:t>
            </w:r>
            <w:r>
              <w:t xml:space="preserve"> </w:t>
            </w:r>
            <w:r>
              <w:t xml:space="preserve">has no direct user identifier — it links back to student data purely through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dta_runs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dta_results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dta_lo_results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(UUID)</w:t>
            </w:r>
          </w:p>
        </w:tc>
        <w:tc>
          <w:tcPr/>
          <w:p>
            <w:pPr>
              <w:pStyle w:val="Compact"/>
            </w:pPr>
            <w:r>
              <w:t xml:space="preserve">Deductive Thematic Analysis pipeline outputs — same linkage pattern as ITA.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cpi_runs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cpi_qual_scores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cpi_summary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Competency Progression Index engine outputs — see §8.</w:t>
            </w:r>
          </w:p>
        </w:tc>
      </w:tr>
    </w:tbl>
    <w:bookmarkEnd w:id="16"/>
    <w:bookmarkStart w:id="17" w:name="users.db"/>
    <w:p>
      <w:pPr>
        <w:pStyle w:val="Heading3"/>
      </w:pPr>
      <w:r>
        <w:rPr>
          <w:rStyle w:val="VerbatimChar"/>
        </w:rPr>
        <w:t xml:space="preserve">users.db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(hashed),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constraint: student/teacher/admin only),</w:t>
            </w:r>
            <w:r>
              <w:t xml:space="preserve"> </w:t>
            </w:r>
            <w:r>
              <w:rPr>
                <w:rStyle w:val="VerbatimChar"/>
              </w:rPr>
              <w:t xml:space="preserve">cohort_id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is_super_admin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is not a stored role value — it’s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is_super_admin=1</w:t>
            </w:r>
            <w:r>
              <w:t xml:space="preserve">, synthesized into the string</w:t>
            </w:r>
            <w:r>
              <w:t xml:space="preserve"> </w:t>
            </w:r>
            <w:r>
              <w:rPr>
                <w:rStyle w:val="VerbatimChar"/>
              </w:rPr>
              <w:t xml:space="preserve">"super_admin"</w:t>
            </w:r>
            <w:r>
              <w:t xml:space="preserve"> </w:t>
            </w:r>
            <w:r>
              <w:t xml:space="preserve">at read time by</w:t>
            </w:r>
            <w:r>
              <w:t xml:space="preserve"> </w:t>
            </w:r>
            <w:r>
              <w:rPr>
                <w:rStyle w:val="VerbatimChar"/>
              </w:rPr>
              <w:t xml:space="preserve">get_user_role()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Powers the lockout mechanism.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Named participant groupings.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Every admin action is logged here — see §7.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backup_timestamp</w:t>
            </w:r>
            <w:r>
              <w:t xml:space="preserve">, pre/post row counts,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Created lazily on first use of the restore feature.</w:t>
            </w:r>
          </w:p>
        </w:tc>
      </w:tr>
    </w:tbl>
    <w:bookmarkEnd w:id="17"/>
    <w:bookmarkStart w:id="18" w:name="research.db"/>
    <w:p>
      <w:pPr>
        <w:pStyle w:val="Heading3"/>
      </w:pPr>
      <w:r>
        <w:rPr>
          <w:rStyle w:val="VerbatimChar"/>
        </w:rPr>
        <w:t xml:space="preserve">research.db</w:t>
      </w:r>
    </w:p>
    <w:p>
      <w:pPr>
        <w:pStyle w:val="FirstParagraph"/>
      </w:pPr>
      <w:r>
        <w:t xml:space="preserve">One table:</w:t>
      </w:r>
      <w:r>
        <w:t xml:space="preserve"> </w:t>
      </w:r>
      <w:r>
        <w:rPr>
          <w:rStyle w:val="VerbatimChar"/>
        </w:rPr>
        <w:t xml:space="preserve">llm_result_cache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n_texts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 — a content-hash-keyed cache to avoid re-paying for identical LLM analysis calls.</w:t>
      </w:r>
    </w:p>
    <w:bookmarkEnd w:id="18"/>
    <w:bookmarkStart w:id="19" w:name="Xdadea09305d1f79797055cc21df454bb4f6413e"/>
    <w:p>
      <w:pPr>
        <w:pStyle w:val="Heading3"/>
      </w:pPr>
      <w:r>
        <w:t xml:space="preserve">Connection-handling consistency — read before adding a new DB-touching file</w:t>
      </w:r>
    </w:p>
    <w:p>
      <w:pPr>
        <w:pStyle w:val="FirstParagraph"/>
      </w:pPr>
      <w:r>
        <w:rPr>
          <w:rStyle w:val="VerbatimChar"/>
        </w:rPr>
        <w:t xml:space="preserve">core/db_utils.py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get_connection()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connection path that correctly sets</w:t>
      </w:r>
      <w:r>
        <w:t xml:space="preserve"> </w:t>
      </w:r>
      <w:r>
        <w:rPr>
          <w:rStyle w:val="VerbatimChar"/>
        </w:rPr>
        <w:t xml:space="preserve">PRAGMA journal_mode=WAL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synchronous=NORMAL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busy_timeout=5000</w:t>
      </w:r>
      <w:r>
        <w:t xml:space="preserve">. Several existing files (</w:t>
      </w:r>
      <w:r>
        <w:rPr>
          <w:rStyle w:val="VerbatimChar"/>
        </w:rPr>
        <w:t xml:space="preserve">auth/login_security.py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auth/user_manager.py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core/admin/user_service.py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core/admin/system_service.py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core/admin/audit_logger.py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core/admin/diagnostics_service.py</w:t>
      </w:r>
      <w:r>
        <w:t xml:space="preserve">) open their own raw</w:t>
      </w:r>
      <w:r>
        <w:t xml:space="preserve"> </w:t>
      </w:r>
      <w:r>
        <w:rPr>
          <w:rStyle w:val="VerbatimChar"/>
        </w:rPr>
        <w:t xml:space="preserve">sqlite3.connect()</w:t>
      </w:r>
      <w:r>
        <w:t xml:space="preserve"> </w:t>
      </w:r>
      <w:r>
        <w:t xml:space="preserve">without these pragmas — this is a known inconsistency (documented in the Solution Architecture Document §8.3), not something to imitate.</w:t>
      </w:r>
      <w:r>
        <w:t xml:space="preserve"> </w:t>
      </w:r>
      <w:r>
        <w:rPr>
          <w:b/>
          <w:bCs/>
        </w:rPr>
        <w:t xml:space="preserve">Any new code that opens a database connection should import and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core.db_utils.get_connection()</w:t>
      </w:r>
      <w:r>
        <w:t xml:space="preserve"> </w:t>
      </w:r>
      <w:r>
        <w:t xml:space="preserve">rather than calling</w:t>
      </w:r>
      <w:r>
        <w:t xml:space="preserve"> </w:t>
      </w:r>
      <w:r>
        <w:rPr>
          <w:rStyle w:val="VerbatimChar"/>
        </w:rPr>
        <w:t xml:space="preserve">sqlite3.connect()</w:t>
      </w:r>
      <w:r>
        <w:t xml:space="preserve"> </w:t>
      </w:r>
      <w:r>
        <w:t xml:space="preserve">directly — this is exactly the fix already applied to</w:t>
      </w:r>
      <w:r>
        <w:t xml:space="preserve"> </w:t>
      </w:r>
      <w:r>
        <w:rPr>
          <w:rStyle w:val="VerbatimChar"/>
        </w:rPr>
        <w:t xml:space="preserve">core/admin/data_service.py</w:t>
      </w:r>
      <w:r>
        <w:t xml:space="preserve">, which should be the template to follow.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odule-lifecycle"/>
    <w:p>
      <w:pPr>
        <w:pStyle w:val="Heading2"/>
      </w:pPr>
      <w:r>
        <w:t xml:space="preserve">5. Module Lifecycle</w:t>
      </w:r>
    </w:p>
    <w:p>
      <w:pPr>
        <w:pStyle w:val="FirstParagraph"/>
      </w:pPr>
      <w:r>
        <w:t xml:space="preserve">Adding, hiding, re-enabling, or replacing module content is documented as its own standalone procedure in</w:t>
      </w:r>
      <w:r>
        <w:t xml:space="preserve"> </w:t>
      </w:r>
      <w:r>
        <w:rPr>
          <w:rStyle w:val="VerbatimChar"/>
          <w:b/>
          <w:bCs/>
        </w:rPr>
        <w:t xml:space="preserve">docs/module-lifecycle-guide.md</w:t>
      </w:r>
      <w:r>
        <w:t xml:space="preserve"> </w:t>
      </w:r>
      <w:r>
        <w:t xml:space="preserve">— treat that as the canonical reference rather than duplicating it here. In brief: every module’s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(in its</w:t>
      </w:r>
      <w:r>
        <w:t xml:space="preserve"> </w:t>
      </w:r>
      <w:r>
        <w:rPr>
          <w:rStyle w:val="VerbatimChar"/>
        </w:rPr>
        <w:t xml:space="preserve">modules/definitions/moduleN_definition.py</w:t>
      </w:r>
      <w:r>
        <w:t xml:space="preserve"> </w:t>
      </w:r>
      <w:r>
        <w:t xml:space="preserve">file) is the single switch that controls whether it appears to students; everything else (registry discovery, unlock sequencing, Post-Course gating) derives from that automatically.</w:t>
      </w:r>
    </w:p>
    <w:p>
      <w:r>
        <w:pict>
          <v:rect style="width:0;height:1.5pt" o:hralign="center" o:hrstd="t" o:hr="t"/>
        </w:pict>
      </w:r>
    </w:p>
    <w:bookmarkEnd w:id="21"/>
    <w:bookmarkStart w:id="22" w:name="X0a2c544975fb51ec498eb913e19195d9159d337"/>
    <w:p>
      <w:pPr>
        <w:pStyle w:val="Heading2"/>
      </w:pPr>
      <w:r>
        <w:t xml:space="preserve">6. How the Core Engines Fit Together — a Full Submission Walkthrough</w:t>
      </w:r>
    </w:p>
    <w:p>
      <w:pPr>
        <w:pStyle w:val="FirstParagraph"/>
      </w:pPr>
      <w:r>
        <w:t xml:space="preserve">This traces exactly what happens when a student answers a Module 1 MCQ question, as a concrete reference for extending or debugging the submission path.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modules/module_1.py</w:t>
      </w:r>
      <w:r>
        <w:t xml:space="preserve">’s registry-invoked</w:t>
      </w:r>
      <w:r>
        <w:t xml:space="preserve"> </w:t>
      </w:r>
      <w:r>
        <w:rPr>
          <w:rStyle w:val="VerbatimChar"/>
        </w:rPr>
        <w:t xml:space="preserve">render(username)</w:t>
      </w:r>
      <w:r>
        <w:t xml:space="preserve"> </w:t>
      </w:r>
      <w:r>
        <w:t xml:space="preserve">fetches completion state, then dispatches to</w:t>
      </w:r>
      <w:r>
        <w:t xml:space="preserve"> </w:t>
      </w:r>
      <w:r>
        <w:rPr>
          <w:rStyle w:val="VerbatimChar"/>
        </w:rPr>
        <w:t xml:space="preserve">render_content_mcq(assessment_def, assessment_key, username)</w:t>
      </w:r>
      <w:r>
        <w:t xml:space="preserve"> </w:t>
      </w:r>
      <w:r>
        <w:t xml:space="preserve">for the MCQ instrument.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Question loading &amp; UI</w:t>
      </w:r>
      <w:r>
        <w:t xml:space="preserve">: questions are loaded (mode-aware —</w:t>
      </w:r>
      <w:r>
        <w:t xml:space="preserve"> </w:t>
      </w:r>
      <w:r>
        <w:rPr>
          <w:rStyle w:val="VerbatimChar"/>
        </w:rPr>
        <w:t xml:space="preserve">QUIZ_MODE=random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), rendered as an</w:t>
      </w:r>
      <w:r>
        <w:t xml:space="preserve"> </w:t>
      </w:r>
      <w:r>
        <w:rPr>
          <w:rStyle w:val="VerbatimChar"/>
        </w:rPr>
        <w:t xml:space="preserve">st.form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st.radio</w:t>
      </w:r>
      <w:r>
        <w:t xml:space="preserve"> </w:t>
      </w:r>
      <w:r>
        <w:t xml:space="preserve">per question.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Client-side scoring</w:t>
      </w:r>
      <w:r>
        <w:t xml:space="preserve">: on submit, the module itself — not</w:t>
      </w:r>
      <w:r>
        <w:t xml:space="preserve"> </w:t>
      </w:r>
      <w:r>
        <w:rPr>
          <w:rStyle w:val="VerbatimChar"/>
        </w:rPr>
        <w:t xml:space="preserve">scoring_engine.py</w:t>
      </w:r>
      <w:r>
        <w:t xml:space="preserve"> </w:t>
      </w:r>
      <w:r>
        <w:t xml:space="preserve">— computes the score by comparing selected answers against each question’s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field, then calls: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submit_instrument(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module_id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MODULE_ID,</w:t>
      </w:r>
      <w:r>
        <w:br/>
      </w:r>
      <w:r>
        <w:rPr>
          <w:rStyle w:val="NormalTok"/>
        </w:rPr>
        <w:t xml:space="preserve">    instrument_key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assessment_key, responses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letter_responses,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core/submission_engine.py:submit_instrument()</w:t>
      </w:r>
      <w:r>
        <w:t xml:space="preserve">, in order:</w:t>
      </w:r>
    </w:p>
    <w:p>
      <w:pPr>
        <w:pStyle w:val="Compact"/>
        <w:numPr>
          <w:ilvl w:val="1"/>
          <w:numId w:val="1005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rid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auth.user_manager.get_user_rid(user_id)</w:t>
      </w:r>
      <w:r>
        <w:t xml:space="preserve"> </w:t>
      </w:r>
      <w:r>
        <w:t xml:space="preserve">if not already provided (silently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failure).</w:t>
      </w:r>
    </w:p>
    <w:p>
      <w:pPr>
        <w:pStyle w:val="Compact"/>
        <w:numPr>
          <w:ilvl w:val="1"/>
          <w:numId w:val="1005"/>
        </w:numPr>
      </w:pPr>
      <w:r>
        <w:t xml:space="preserve">Validate the instrument is actually required by this module (</w:t>
      </w:r>
      <w:r>
        <w:rPr>
          <w:rStyle w:val="VerbatimChar"/>
        </w:rPr>
        <w:t xml:space="preserve">get_required_instruments()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core/progress_engine.py</w:t>
      </w:r>
      <w:r>
        <w:t xml:space="preserve">) —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otherwise.</w:t>
      </w:r>
    </w:p>
    <w:p>
      <w:pPr>
        <w:pStyle w:val="Compact"/>
        <w:numPr>
          <w:ilvl w:val="1"/>
          <w:numId w:val="1005"/>
        </w:numPr>
      </w:pPr>
      <w:r>
        <w:t xml:space="preserve">Open a connection via</w:t>
      </w:r>
      <w:r>
        <w:t xml:space="preserve"> </w:t>
      </w:r>
      <w:r>
        <w:rPr>
          <w:rStyle w:val="VerbatimChar"/>
        </w:rPr>
        <w:t xml:space="preserve">core.db_utils.get_connection()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Write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 INTO responses</w:t>
      </w:r>
      <w:r>
        <w:rPr>
          <w:b/>
          <w:bCs/>
        </w:rPr>
        <w:t xml:space="preserve"> </w:t>
      </w:r>
      <w:r>
        <w:rPr>
          <w:b/>
          <w:bCs/>
        </w:rPr>
        <w:t xml:space="preserve">per question answered.</w:t>
      </w:r>
    </w:p>
    <w:p>
      <w:pPr>
        <w:pStyle w:val="Compact"/>
        <w:numPr>
          <w:ilvl w:val="1"/>
          <w:numId w:val="1005"/>
        </w:numPr>
      </w:pPr>
      <w:r>
        <w:t xml:space="preserve">Determine instrument type (</w:t>
      </w:r>
      <w:r>
        <w:rPr>
          <w:rStyle w:val="VerbatimChar"/>
        </w:rPr>
        <w:t xml:space="preserve">"survey"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"assessment"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get_instrument_type()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Auto-scoring branch</w:t>
      </w:r>
      <w:r>
        <w:t xml:space="preserve">: only triggers if</w:t>
      </w:r>
      <w:r>
        <w:t xml:space="preserve"> </w:t>
      </w:r>
      <w:r>
        <w:rPr>
          <w:rStyle w:val="VerbatimChar"/>
        </w:rPr>
        <w:t xml:space="preserve">score is None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instrument is a survey — loads the relevant</w:t>
      </w:r>
      <w:r>
        <w:t xml:space="preserve"> </w:t>
      </w:r>
      <w:r>
        <w:rPr>
          <w:rStyle w:val="VerbatimChar"/>
        </w:rPr>
        <w:t xml:space="preserve">*_scoring.yaml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streamlit_app/surveys/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core.scoring_engine.compute_score()</w:t>
      </w:r>
      <w:r>
        <w:t xml:space="preserve">. Not triggered for MCQs, since the module already computed and passed a score explicitly.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Upsert the score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assessment_scores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survey_scores</w:t>
      </w:r>
      <w:r>
        <w:t xml:space="preserve">), keyed on</w:t>
      </w:r>
      <w:r>
        <w:t xml:space="preserve"> </w:t>
      </w:r>
      <w:r>
        <w:rPr>
          <w:rStyle w:val="VerbatimChar"/>
        </w:rPr>
        <w:t xml:space="preserve">(user_id, assessment_code)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(user_id, survey_key)</w:t>
      </w:r>
      <w:r>
        <w:t xml:space="preserve"> </w:t>
      </w:r>
      <w:r>
        <w:t xml:space="preserve">— repeated submissions overwrite, they don’t accumulate duplicate rows.</w:t>
      </w:r>
    </w:p>
    <w:p>
      <w:pPr>
        <w:pStyle w:val="Compact"/>
        <w:numPr>
          <w:ilvl w:val="1"/>
          <w:numId w:val="1005"/>
        </w:numPr>
      </w:pPr>
      <w:r>
        <w:t xml:space="preserve">Commit and close.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Mark completion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core.db_utils.mark_instrument_complete()</w:t>
      </w:r>
      <w:r>
        <w:t xml:space="preserve"> </w:t>
      </w:r>
      <w:r>
        <w:t xml:space="preserve">does an idempotent</w:t>
      </w:r>
      <w:r>
        <w:t xml:space="preserve"> </w:t>
      </w:r>
      <w:r>
        <w:rPr>
          <w:rStyle w:val="VerbatimChar"/>
        </w:rPr>
        <w:t xml:space="preserve">INSERT OR IGNORE INTO completions</w:t>
      </w:r>
      <w:r>
        <w:t xml:space="preserve"> </w:t>
      </w:r>
      <w:r>
        <w:t xml:space="preserve">— this is the row the unlock logic (</w:t>
      </w:r>
      <w:r>
        <w:rPr>
          <w:rStyle w:val="VerbatimChar"/>
        </w:rPr>
        <w:t xml:space="preserve">core.progress_engine.is_module_unlocked()</w:t>
      </w:r>
      <w:r>
        <w:t xml:space="preserve">) reads on the student’s next dashboard view.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Back in the UI</w:t>
      </w:r>
      <w:r>
        <w:t xml:space="preserve">: the module marks the instrument complete in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, shows a success message, and reruns — at which point the Student Dashboard’s live unlock check picks up the new</w:t>
      </w:r>
      <w:r>
        <w:t xml:space="preserve"> </w:t>
      </w:r>
      <w:r>
        <w:rPr>
          <w:rStyle w:val="VerbatimChar"/>
        </w:rPr>
        <w:t xml:space="preserve">completions</w:t>
      </w:r>
      <w:r>
        <w:t xml:space="preserve"> </w:t>
      </w:r>
      <w:r>
        <w:t xml:space="preserve">row and unlocks the next module if this was the last required instrument.</w:t>
      </w:r>
    </w:p>
    <w:p>
      <w:pPr>
        <w:pStyle w:val="FirstParagraph"/>
      </w:pPr>
      <w:r>
        <w:rPr>
          <w:b/>
          <w:bCs/>
        </w:rPr>
        <w:t xml:space="preserve">A subtlety worth knowing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scoring_engine.compute_score()</w:t>
      </w:r>
      <w:r>
        <w:t xml:space="preserve"> </w:t>
      </w:r>
      <w:r>
        <w:t xml:space="preserve">supports MCQ-style scoring too (an</w:t>
      </w:r>
      <w:r>
        <w:t xml:space="preserve"> </w:t>
      </w:r>
      <w:r>
        <w:rPr>
          <w:rStyle w:val="VerbatimChar"/>
        </w:rPr>
        <w:t xml:space="preserve">"Option A"</w:t>
      </w:r>
      <w:r>
        <w:t xml:space="preserve"> </w:t>
      </w:r>
      <w:r>
        <w:t xml:space="preserve">binary mode matching</w:t>
      </w:r>
      <w:r>
        <w:t xml:space="preserve"> </w:t>
      </w:r>
      <w:r>
        <w:rPr>
          <w:rStyle w:val="VerbatimChar"/>
        </w:rPr>
        <w:t xml:space="preserve">correct_answers: {Q1: "A", ...}</w:t>
      </w:r>
      <w:r>
        <w:t xml:space="preserve"> </w:t>
      </w:r>
      <w:r>
        <w:t xml:space="preserve">in a scoring YAML, including graceful handling of randomized question subsets), but Module 1’s actual MCQ handler doesn’t use it — it scores client-side instead. If you’re adding a new module, either pattern is valid; just be consistent about which one you use so the scoring logic isn’t duplicated in two places for the same instrument.</w:t>
      </w:r>
    </w:p>
    <w:p>
      <w:pPr>
        <w:pStyle w:val="BodyText"/>
      </w:pPr>
      <w:r>
        <w:rPr>
          <w:b/>
          <w:bCs/>
        </w:rPr>
        <w:t xml:space="preserve">Reflections behave differently</w:t>
      </w:r>
      <w:r>
        <w:t xml:space="preserve">: they pass</w:t>
      </w:r>
      <w:r>
        <w:t xml:space="preserve"> </w:t>
      </w:r>
      <w:r>
        <w:rPr>
          <w:rStyle w:val="VerbatimChar"/>
        </w:rPr>
        <w:t xml:space="preserve">score=None</w:t>
      </w:r>
      <w:r>
        <w:t xml:space="preserve"> </w:t>
      </w:r>
      <w:r>
        <w:t xml:space="preserve">and are classified as</w:t>
      </w:r>
      <w:r>
        <w:t xml:space="preserve"> </w:t>
      </w:r>
      <w:r>
        <w:rPr>
          <w:rStyle w:val="VerbatimChar"/>
        </w:rPr>
        <w:t xml:space="preserve">"assessment"</w:t>
      </w:r>
      <w:r>
        <w:t xml:space="preserve"> </w:t>
      </w:r>
      <w:r>
        <w:t xml:space="preserve">type, but since the auto-scoring branch only fires for</w:t>
      </w:r>
      <w:r>
        <w:t xml:space="preserve"> </w:t>
      </w:r>
      <w:r>
        <w:rPr>
          <w:rStyle w:val="VerbatimChar"/>
        </w:rPr>
        <w:t xml:space="preserve">"survey"</w:t>
      </w:r>
      <w:r>
        <w:t xml:space="preserve"> </w:t>
      </w:r>
      <w:r>
        <w:t xml:space="preserve">type,</w:t>
      </w:r>
      <w:r>
        <w:t xml:space="preserve"> </w:t>
      </w:r>
      <w:r>
        <w:rPr>
          <w:b/>
          <w:bCs/>
        </w:rPr>
        <w:t xml:space="preserve">no score row is ever written for a reflection</w:t>
      </w:r>
      <w:r>
        <w:t xml:space="preserve"> </w:t>
      </w:r>
      <w:r>
        <w:t xml:space="preserve">— only the raw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rows and the</w:t>
      </w:r>
      <w:r>
        <w:t xml:space="preserve"> </w:t>
      </w:r>
      <w:r>
        <w:rPr>
          <w:rStyle w:val="VerbatimChar"/>
        </w:rPr>
        <w:t xml:space="preserve">completions</w:t>
      </w:r>
      <w:r>
        <w:t xml:space="preserve"> </w:t>
      </w:r>
      <w:r>
        <w:t xml:space="preserve">marker. This is intentional; reflections are qualitative and scored later (if at all) by the LLM analysis pipeline, not by</w:t>
      </w:r>
      <w:r>
        <w:t xml:space="preserve"> </w:t>
      </w:r>
      <w:r>
        <w:rPr>
          <w:rStyle w:val="VerbatimChar"/>
        </w:rPr>
        <w:t xml:space="preserve">submission_engine.py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dmin-operations-reference"/>
    <w:p>
      <w:pPr>
        <w:pStyle w:val="Heading2"/>
      </w:pPr>
      <w:r>
        <w:t xml:space="preserve">7. Admin Operations Reference</w:t>
      </w:r>
    </w:p>
    <w:p>
      <w:pPr>
        <w:pStyle w:val="FirstParagraph"/>
      </w:pPr>
      <w:r>
        <w:t xml:space="preserve">A practical, per-feature guide to what each Admin Dashboard section actually does on the backend. All admin actions are logged to</w:t>
      </w:r>
      <w:r>
        <w:t xml:space="preserve"> </w:t>
      </w:r>
      <w:r>
        <w:rPr>
          <w:rStyle w:val="VerbatimChar"/>
        </w:rPr>
        <w:t xml:space="preserve">admin_logs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core/admin/audit_logger.py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tab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Backend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Create/Delete User, Reset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auth/user_manager.py</w:t>
            </w:r>
          </w:p>
        </w:tc>
        <w:tc>
          <w:tcPr/>
          <w:p>
            <w:pPr>
              <w:pStyle w:val="Compact"/>
            </w:pPr>
            <w:r>
              <w:t xml:space="preserve">Standard account lifecycle.</w:t>
            </w:r>
            <w:r>
              <w:t xml:space="preserve"> </w:t>
            </w:r>
            <w:r>
              <w:rPr>
                <w:rStyle w:val="VerbatimChar"/>
              </w:rPr>
              <w:t xml:space="preserve">reset_password</w:t>
            </w:r>
            <w:r>
              <w:t xml:space="preserve"> </w:t>
            </w:r>
            <w:r>
              <w:t xml:space="preserve">generates a cryptographically random password (</w:t>
            </w:r>
            <w:r>
              <w:rPr>
                <w:rStyle w:val="VerbatimChar"/>
              </w:rPr>
              <w:t xml:space="preserve">generate_password()</w:t>
            </w:r>
            <w:r>
              <w:t xml:space="preserve">), not a predictable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Login Lockout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auth/login_security.clear_lockout()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set_lockout_enabled()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clear_lockout(username)</w:t>
            </w:r>
            <w:r>
              <w:t xml:space="preserve"> </w:t>
            </w:r>
            <w:r>
              <w:t xml:space="preserve">deletes only that user’s failed attempts within the current rolling window — cannot affect other users or successful logins. The pilot-mode toggle is process-local and resets to</w:t>
            </w:r>
            <w:r>
              <w:t xml:space="preserve"> </w:t>
            </w:r>
            <w:r>
              <w:t xml:space="preserve">“enabled”</w:t>
            </w:r>
            <w:r>
              <w:t xml:space="preserve"> </w:t>
            </w:r>
            <w:r>
              <w:t xml:space="preserve">on every restart (including the nightly cron restart) by design — it’s meant for temporary use during a single in-person session, not a persistent setting.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</w:t>
            </w:r>
          </w:p>
        </w:tc>
        <w:tc>
          <w:tcPr/>
          <w:p>
            <w:pPr>
              <w:pStyle w:val="Compact"/>
            </w:pPr>
            <w:r>
              <w:t xml:space="preserve">Reset One Instrument for One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core/admin/data_service.reset_user_instrument()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count_user_instrument_rows()</w:t>
            </w:r>
          </w:p>
        </w:tc>
        <w:tc>
          <w:tcPr/>
          <w:p>
            <w:pPr>
              <w:pStyle w:val="Compact"/>
            </w:pPr>
            <w:r>
              <w:t xml:space="preserve">Deletes are scoped by both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AND the instrument column across all four core tables — cannot touch another student or another instrument for the same student. Always preview counts first via</w:t>
            </w:r>
            <w:r>
              <w:t xml:space="preserve"> </w:t>
            </w:r>
            <w:r>
              <w:rPr>
                <w:rStyle w:val="VerbatimChar"/>
              </w:rPr>
              <w:t xml:space="preserve">count_user_instrument_rows()</w:t>
            </w:r>
            <w:r>
              <w:t xml:space="preserve"> </w:t>
            </w:r>
            <w:r>
              <w:t xml:space="preserve">before calling the 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Operations</w:t>
            </w:r>
          </w:p>
        </w:tc>
        <w:tc>
          <w:tcPr/>
          <w:p>
            <w:pPr>
              <w:pStyle w:val="Compact"/>
            </w:pPr>
            <w:r>
              <w:t xml:space="preserve">Download Databases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core/admin/system_service.backup_databases()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st.download_button</w:t>
            </w:r>
          </w:p>
        </w:tc>
        <w:tc>
          <w:tcPr/>
          <w:p>
            <w:pPr>
              <w:pStyle w:val="Compact"/>
            </w:pPr>
            <w:r>
              <w:t xml:space="preserve">Runs a fresh backup, zips both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files, and serves them directly to the admin’s browser — the only backup path that actually leaves Railway’s infrastructure. Use this before any risky operation, and periodically regardless.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Operations</w:t>
            </w:r>
          </w:p>
        </w:tc>
        <w:tc>
          <w:tcPr/>
          <w:p>
            <w:pPr>
              <w:pStyle w:val="Compact"/>
            </w:pPr>
            <w:r>
              <w:t xml:space="preserve">Auto-Backup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core/admin/system_service._catch_up_if_stale()</w:t>
            </w:r>
          </w:p>
        </w:tc>
        <w:tc>
          <w:tcPr/>
          <w:p>
            <w:pPr>
              <w:pStyle w:val="Compact"/>
            </w:pPr>
            <w:r>
              <w:t xml:space="preserve">Runs automatically on every app start; if the most recent backup is older than</w:t>
            </w:r>
            <w:r>
              <w:t xml:space="preserve"> </w:t>
            </w:r>
            <w:r>
              <w:rPr>
                <w:rStyle w:val="VerbatimChar"/>
              </w:rPr>
              <w:t xml:space="preserve">BACKUP_INTERVAL_HOURS</w:t>
            </w:r>
            <w:r>
              <w:t xml:space="preserve">, it backs up immediately rather than waiting for the next scheduled interval — this closes a gap where frequent restarts (e.g. the nightly cron) could otherwise starve the backup schedule indefinitely.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Operations</w:t>
            </w:r>
          </w:p>
        </w:tc>
        <w:tc>
          <w:tcPr/>
          <w:p>
            <w:pPr>
              <w:pStyle w:val="Compact"/>
            </w:pPr>
            <w:r>
              <w:t xml:space="preserve">Restore Databases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core/admin/system_service.restore_databases()</w:t>
            </w:r>
          </w:p>
        </w:tc>
        <w:tc>
          <w:tcPr/>
          <w:p>
            <w:pPr>
              <w:pStyle w:val="Compact"/>
            </w:pPr>
            <w:r>
              <w:t xml:space="preserve">Verifies row counts before and after, logs to</w:t>
            </w:r>
            <w:r>
              <w:t xml:space="preserve"> </w:t>
            </w:r>
            <w:r>
              <w:rPr>
                <w:rStyle w:val="VerbatimChar"/>
              </w:rPr>
              <w:t xml:space="preserve">restore_log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Built but not yet actually tested end-to-end</w:t>
            </w:r>
            <w:r>
              <w:t xml:space="preserve"> </w:t>
            </w:r>
            <w:r>
              <w:t xml:space="preserve">as of this writing — verify this works before relying on it in a real incident.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core/admin/audit_logger.get_all_logs_df()</w:t>
            </w:r>
          </w:p>
        </w:tc>
        <w:tc>
          <w:tcPr/>
          <w:p>
            <w:pPr>
              <w:pStyle w:val="Compact"/>
            </w:pPr>
            <w:r>
              <w:t xml:space="preserve">Exportable as CSV — every admin action, who did it, and when.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nalytics-pipeline-reference"/>
    <w:p>
      <w:pPr>
        <w:pStyle w:val="Heading2"/>
      </w:pPr>
      <w:r>
        <w:t xml:space="preserve">8. Analytics Pipeline Reference</w:t>
      </w:r>
    </w:p>
    <w:p>
      <w:pPr>
        <w:pStyle w:val="FirstParagraph"/>
      </w:pPr>
      <w:r>
        <w:t xml:space="preserve">The Teacher Dashboard’s six sections are backed by</w:t>
      </w:r>
      <w:r>
        <w:t xml:space="preserve"> </w:t>
      </w:r>
      <w:r>
        <w:rPr>
          <w:rStyle w:val="VerbatimChar"/>
        </w:rPr>
        <w:t xml:space="preserve">core/analytics/</w:t>
      </w:r>
      <w:r>
        <w:t xml:space="preserve">, organized by analysis type:</w:t>
      </w:r>
      <w:r>
        <w:t xml:space="preserve"> </w:t>
      </w:r>
      <w:r>
        <w:rPr>
          <w:rStyle w:val="VerbatimChar"/>
        </w:rPr>
        <w:t xml:space="preserve">descriptive/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inferential/</w:t>
      </w:r>
      <w:r>
        <w:t xml:space="preserve">,</w:t>
      </w:r>
      <w:r>
        <w:t xml:space="preserve"> </w:t>
      </w:r>
      <w:r>
        <w:rPr>
          <w:rStyle w:val="VerbatimChar"/>
        </w:rPr>
        <w:t xml:space="preserve">irt/</w:t>
      </w:r>
      <w:r>
        <w:t xml:space="preserve">,</w:t>
      </w:r>
      <w:r>
        <w:t xml:space="preserve"> </w:t>
      </w:r>
      <w:r>
        <w:rPr>
          <w:rStyle w:val="VerbatimChar"/>
        </w:rPr>
        <w:t xml:space="preserve">cpi/</w:t>
      </w:r>
      <w:r>
        <w:t xml:space="preserve">,</w:t>
      </w:r>
      <w:r>
        <w:t xml:space="preserve"> </w:t>
      </w:r>
      <w:r>
        <w:rPr>
          <w:rStyle w:val="VerbatimChar"/>
        </w:rPr>
        <w:t xml:space="preserve">llm/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datasets/</w:t>
      </w:r>
      <w:r>
        <w:t xml:space="preserve"> </w:t>
      </w:r>
      <w:r>
        <w:t xml:space="preserve">(which assembles the shared</w:t>
      </w:r>
      <w:r>
        <w:t xml:space="preserve"> </w:t>
      </w:r>
      <w:r>
        <w:t xml:space="preserve">“canonical dataset”</w:t>
      </w:r>
      <w:r>
        <w:t xml:space="preserve"> </w:t>
      </w:r>
      <w:r>
        <w:t xml:space="preserve">every other engine consumes).</w:t>
      </w:r>
    </w:p>
    <w:p>
      <w:pPr>
        <w:pStyle w:val="BodyText"/>
      </w:pPr>
      <w:r>
        <w:rPr>
          <w:b/>
          <w:bCs/>
        </w:rPr>
        <w:t xml:space="preserve">What’s implemented and live</w:t>
      </w:r>
      <w:r>
        <w:t xml:space="preserve">, briefly (see the Solution Architecture Document for the general shape, and the post-pilot roadmap memory for a detailed audit if you’re picking this work back up):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Descriptive statistics</w:t>
      </w:r>
      <w:r>
        <w:t xml:space="preserve"> </w:t>
      </w:r>
      <w:r>
        <w:t xml:space="preserve">— participant summaries, assessment score aggregation, survey construct means.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Inferential statistics</w:t>
      </w:r>
      <w:r>
        <w:t xml:space="preserve"> </w:t>
      </w:r>
      <w:r>
        <w:t xml:space="preserve">— paired comparisons, including a fully-implemented Bland-Altman method-agreement analysis (</w:t>
      </w:r>
      <w:r>
        <w:rPr>
          <w:rStyle w:val="VerbatimChar"/>
        </w:rPr>
        <w:t xml:space="preserve">core/analytics/inferential/inferential_tests.py:run_bland_altman()</w:t>
      </w:r>
      <w:r>
        <w:t xml:space="preserve">), cited and rendered in the dashboard.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IRT (Item Response Theory)</w:t>
      </w:r>
      <w:r>
        <w:t xml:space="preserve"> </w:t>
      </w:r>
      <w:r>
        <w:t xml:space="preserve">— pure-Python via the</w:t>
      </w:r>
      <w:r>
        <w:t xml:space="preserve"> </w:t>
      </w:r>
      <w:r>
        <w:rPr>
          <w:rStyle w:val="VerbatimChar"/>
        </w:rPr>
        <w:t xml:space="preserve">girth</w:t>
      </w:r>
      <w:r>
        <w:t xml:space="preserve"> </w:t>
      </w:r>
      <w:r>
        <w:t xml:space="preserve">library (no R dependency despite some stale docstrings still mentioning</w:t>
      </w:r>
      <w:r>
        <w:t xml:space="preserve"> </w:t>
      </w:r>
      <w:r>
        <w:rPr>
          <w:rStyle w:val="VerbatimChar"/>
        </w:rPr>
        <w:t xml:space="preserve">mirt</w:t>
      </w:r>
      <w:r>
        <w:t xml:space="preserve">/rpy2 — see the Solution Architecture Document §8.6).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Construct reliability</w:t>
      </w:r>
      <w:r>
        <w:t xml:space="preserve"> </w:t>
      </w:r>
      <w:r>
        <w:t xml:space="preserve">— CR, AVE, and McDonald’s ω, converting IRT discrimination parameters to factor loadings — fully implemented in</w:t>
      </w:r>
      <w:r>
        <w:t xml:space="preserve"> </w:t>
      </w:r>
      <w:r>
        <w:rPr>
          <w:rStyle w:val="VerbatimChar"/>
        </w:rPr>
        <w:t xml:space="preserve">core/analytics/irt/reliability_analysis.py</w:t>
      </w:r>
      <w:r>
        <w:t xml:space="preserve"> </w:t>
      </w:r>
      <w:r>
        <w:t xml:space="preserve">and wired into the dashboard.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CPI (Competency Progression Index)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core/analytics/cpi/cpi_engine.py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two different combining formulas</w:t>
      </w:r>
      <w:r>
        <w:t xml:space="preserve">: the original two-component</w:t>
      </w:r>
      <w:r>
        <w:t xml:space="preserve"> </w:t>
      </w:r>
      <w:r>
        <w:rPr>
          <w:rStyle w:val="VerbatimChar"/>
        </w:rPr>
        <w:t xml:space="preserve">CPI+ = w1*CPI_quant + w2*CPI_qual</w:t>
      </w:r>
      <w:r>
        <w:t xml:space="preserve"> </w:t>
      </w:r>
      <w:r>
        <w:t xml:space="preserve">(this is the one actually used and persisted by the live Teacher Dashboard tab), and a newer three-component</w:t>
      </w:r>
      <w:r>
        <w:t xml:space="preserve"> </w:t>
      </w:r>
      <w:r>
        <w:rPr>
          <w:rStyle w:val="VerbatimChar"/>
        </w:rPr>
        <w:t xml:space="preserve">CPI_outcome + CPI_process + CPI_qual</w:t>
      </w:r>
      <w:r>
        <w:t xml:space="preserve"> </w:t>
      </w:r>
      <w:r>
        <w:t xml:space="preserve">model (including Hake’s normalized gain for pre/post delta scores) that exists as working code but is</w:t>
      </w:r>
      <w:r>
        <w:t xml:space="preserve"> </w:t>
      </w:r>
      <w:r>
        <w:rPr>
          <w:b/>
          <w:bCs/>
        </w:rPr>
        <w:t xml:space="preserve">not wired into the live tab</w:t>
      </w:r>
      <w:r>
        <w:t xml:space="preserve"> </w:t>
      </w:r>
      <w:r>
        <w:t xml:space="preserve">— it’s only reached as a fallback inside the PDF report generator, and even there the report’s own methodology text still describes the old formula.</w:t>
      </w:r>
      <w:r>
        <w:t xml:space="preserve"> </w:t>
      </w:r>
      <w:r>
        <w:rPr>
          <w:b/>
          <w:bCs/>
        </w:rPr>
        <w:t xml:space="preserve">This is a known, real inconsistency</w:t>
      </w:r>
      <w:r>
        <w:t xml:space="preserve"> </w:t>
      </w:r>
      <w:r>
        <w:t xml:space="preserve">— if you’re asked to</w:t>
      </w:r>
      <w:r>
        <w:t xml:space="preserve"> </w:t>
      </w:r>
      <w:r>
        <w:t xml:space="preserve">“finish”</w:t>
      </w:r>
      <w:r>
        <w:t xml:space="preserve"> </w:t>
      </w:r>
      <w:r>
        <w:t xml:space="preserve">CPI+, this mismatch is the first thing to resolve, not a new feature to build.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analysis (ITA/DTA)</w:t>
      </w:r>
      <w:r>
        <w:t xml:space="preserve"> </w:t>
      </w:r>
      <w:r>
        <w:t xml:space="preserve">— inductive and deductive thematic analysis via LLM provider APIs, with result caching in</w:t>
      </w:r>
      <w:r>
        <w:t xml:space="preserve"> </w:t>
      </w:r>
      <w:r>
        <w:rPr>
          <w:rStyle w:val="VerbatimChar"/>
        </w:rPr>
        <w:t xml:space="preserve">research.db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What’s explicitly out of scope for this document</w:t>
      </w:r>
      <w:r>
        <w:t xml:space="preserve"> </w:t>
      </w:r>
      <w:r>
        <w:t xml:space="preserve">(tracked separately, not yet built or only partially built): the Hybrid Qual+Quant integration tab, an expanded Reports tab (inter-rater reliability reports, keyword-driven reports, freeform researcher Q&amp;A), and full RID-based de-identification of the analytics pipeline (today,</w:t>
      </w:r>
      <w:r>
        <w:t xml:space="preserve"> </w:t>
      </w:r>
      <w:r>
        <w:rPr>
          <w:rStyle w:val="VerbatimChar"/>
        </w:rPr>
        <w:t xml:space="preserve">canonical_loader.py</w:t>
      </w:r>
      <w:r>
        <w:t xml:space="preserve"> </w:t>
      </w:r>
      <w:r>
        <w:t xml:space="preserve">and everything downstream reads by username, not by research ID, despite RID columns existing in the schema). See the post-pilot roadmap for detail — these are deliberately sequenced after the pilot, not part of the current system.</w:t>
      </w:r>
    </w:p>
    <w:p>
      <w:r>
        <w:pict>
          <v:rect style="width:0;height:1.5pt" o:hralign="center" o:hrstd="t" o:hr="t"/>
        </w:pict>
      </w:r>
    </w:p>
    <w:bookmarkEnd w:id="24"/>
    <w:bookmarkStart w:id="28" w:name="known-issues-operational-runbook"/>
    <w:p>
      <w:pPr>
        <w:pStyle w:val="Heading2"/>
      </w:pPr>
      <w:r>
        <w:t xml:space="preserve">9. Known Issues &amp; Operational Runbook</w:t>
      </w:r>
    </w:p>
    <w:bookmarkStart w:id="25" w:name="X2ef1737ba42a36d7ef38db436c05a49156f6017"/>
    <w:p>
      <w:pPr>
        <w:pStyle w:val="Heading3"/>
      </w:pPr>
      <w:r>
        <w:t xml:space="preserve">Streamlit websocket/session-leak (upstream bug)</w:t>
      </w:r>
    </w:p>
    <w:p>
      <w:pPr>
        <w:pStyle w:val="FirstParagraph"/>
      </w:pPr>
      <w:r>
        <w:t xml:space="preserve">There is an unresolved, maintainer-acknowledged bug in Streamlit itself (</w:t>
      </w:r>
      <w:r>
        <w:rPr>
          <w:rStyle w:val="VerbatimChar"/>
        </w:rPr>
        <w:t xml:space="preserve">streamlit/streamlit#8901</w:t>
      </w:r>
      <w:r>
        <w:t xml:space="preserve">) involving accumulated memory/session state on long-running processes. No application-level fix exists (or is expected upstream soon), so the mitigation is purely operational:</w:t>
      </w:r>
      <w:r>
        <w:t xml:space="preserve"> </w:t>
      </w:r>
      <w:r>
        <w:rPr>
          <w:rStyle w:val="VerbatimChar"/>
        </w:rPr>
        <w:t xml:space="preserve">.github/workflows/scheduled-restart.yml</w:t>
      </w:r>
      <w:r>
        <w:t xml:space="preserve"> </w:t>
      </w:r>
      <w:r>
        <w:t xml:space="preserve">triggers a Railway redeploy of 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service every night at 07:00 UTC via</w:t>
      </w:r>
      <w:r>
        <w:t xml:space="preserve"> </w:t>
      </w:r>
      <w:r>
        <w:rPr>
          <w:rStyle w:val="VerbatimChar"/>
        </w:rPr>
        <w:t xml:space="preserve">railway redeploy --service &lt;id&gt; --yes</w:t>
      </w:r>
      <w:r>
        <w:t xml:space="preserve">, authenticated with a</w:t>
      </w:r>
      <w:r>
        <w:t xml:space="preserve"> </w:t>
      </w:r>
      <w:r>
        <w:rPr>
          <w:rStyle w:val="VerbatimChar"/>
        </w:rPr>
        <w:t xml:space="preserve">RAILWAY_TOKEN</w:t>
      </w:r>
      <w:r>
        <w:t xml:space="preserve"> </w:t>
      </w:r>
      <w:r>
        <w:t xml:space="preserve">secret. This was empirically verified to be scoped specifically to 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 (not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 by observing production’s deployment ID change on a manual trigger while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’s stayed identical — worth re-verifying if the token is ever regenerated, since Railway service IDs are identical across environments and only the token’s own scoping determines which environment actually gets restarted.</w:t>
      </w:r>
    </w:p>
    <w:p>
      <w:pPr>
        <w:pStyle w:val="BodyText"/>
      </w:pPr>
      <w:r>
        <w:rPr>
          <w:b/>
          <w:bCs/>
        </w:rPr>
        <w:t xml:space="preserve">Operational consequence</w:t>
      </w:r>
      <w:r>
        <w:t xml:space="preserve">: because this restart happens nightly, any process-local (non-persisted) state resets every 24 hours. Two places in the codebase already account for this by design:</w:t>
      </w:r>
      <w:r>
        <w:t xml:space="preserve"> </w:t>
      </w:r>
      <w:r>
        <w:t xml:space="preserve">- The auto-backup scheduler’s catch-up check (§7) — prevents backups from silently stopping due to frequent restarts.</w:t>
      </w:r>
      <w:r>
        <w:t xml:space="preserve"> </w:t>
      </w:r>
      <w:r>
        <w:t xml:space="preserve">- The admin lockout-pause toggle (§7) — intentionally resets to</w:t>
      </w:r>
      <w:r>
        <w:t xml:space="preserve"> </w:t>
      </w:r>
      <w:r>
        <w:t xml:space="preserve">“enabled”</w:t>
      </w:r>
      <w:r>
        <w:t xml:space="preserve"> </w:t>
      </w:r>
      <w:r>
        <w:t xml:space="preserve">(the safe default) on every restart rather than staying paused indefinitely.</w:t>
      </w:r>
    </w:p>
    <w:p>
      <w:pPr>
        <w:pStyle w:val="BodyText"/>
      </w:pPr>
      <w:r>
        <w:t xml:space="preserve">If you add new process-local state in the future, consider whether it needs the same</w:t>
      </w:r>
      <w:r>
        <w:t xml:space="preserve"> </w:t>
      </w:r>
      <w:r>
        <w:t xml:space="preserve">“restart-safe”</w:t>
      </w:r>
      <w:r>
        <w:t xml:space="preserve"> </w:t>
      </w:r>
      <w:r>
        <w:t xml:space="preserve">treatment.</w:t>
      </w:r>
    </w:p>
    <w:bookmarkEnd w:id="25"/>
    <w:bookmarkStart w:id="26" w:name="deployment-quirk-spurious-cli-timeout"/>
    <w:p>
      <w:pPr>
        <w:pStyle w:val="Heading3"/>
      </w:pPr>
      <w:r>
        <w:t xml:space="preserve">Deployment quirk: spurious CLI timeout</w:t>
      </w:r>
    </w:p>
    <w:p>
      <w:pPr>
        <w:pStyle w:val="FirstParagraph"/>
      </w:pPr>
      <w:r>
        <w:rPr>
          <w:rStyle w:val="VerbatimChar"/>
        </w:rPr>
        <w:t xml:space="preserve">railway up</w:t>
      </w:r>
      <w:r>
        <w:t xml:space="preserve">/</w:t>
      </w:r>
      <w:r>
        <w:rPr>
          <w:rStyle w:val="VerbatimChar"/>
        </w:rPr>
        <w:t xml:space="preserve">railway redeploy</w:t>
      </w:r>
      <w:r>
        <w:t xml:space="preserve"> </w:t>
      </w:r>
      <w:r>
        <w:t xml:space="preserve">can report</w:t>
      </w:r>
      <w:r>
        <w:t xml:space="preserve"> </w:t>
      </w:r>
      <w:r>
        <w:rPr>
          <w:rStyle w:val="VerbatimChar"/>
        </w:rPr>
        <w:t xml:space="preserve">reqwest error... operation timed out</w:t>
      </w:r>
      <w:r>
        <w:t xml:space="preserve"> </w:t>
      </w:r>
      <w:r>
        <w:t xml:space="preserve">even when the deployment actually succeeded on Railway’s backend — this is a CLI-side polling/streaming timeout, not a real failure. Always confirm actual status via</w:t>
      </w:r>
      <w:r>
        <w:t xml:space="preserve"> </w:t>
      </w:r>
      <w:r>
        <w:rPr>
          <w:rStyle w:val="VerbatimChar"/>
        </w:rPr>
        <w:t xml:space="preserve">railway status --json</w:t>
      </w:r>
      <w:r>
        <w:t xml:space="preserve"> </w:t>
      </w:r>
      <w:r>
        <w:t xml:space="preserve">rather than trusting the CLI’s exit code or printed error.</w:t>
      </w:r>
    </w:p>
    <w:bookmarkEnd w:id="26"/>
    <w:bookmarkStart w:id="27" w:name="windows-only-quirks-local-development"/>
    <w:p>
      <w:pPr>
        <w:pStyle w:val="Heading3"/>
      </w:pPr>
      <w:r>
        <w:t xml:space="preserve">Windows-only quirks (local development)</w:t>
      </w:r>
    </w:p>
    <w:p>
      <w:pPr>
        <w:pStyle w:val="Compact"/>
        <w:numPr>
          <w:ilvl w:val="0"/>
          <w:numId w:val="1007"/>
        </w:numPr>
      </w:pPr>
      <w:r>
        <w:t xml:space="preserve">Windows consoles default to a legacy codepage (</w:t>
      </w:r>
      <w:r>
        <w:rPr>
          <w:rStyle w:val="VerbatimChar"/>
        </w:rPr>
        <w:t xml:space="preserve">cp1252</w:t>
      </w:r>
      <w:r>
        <w:t xml:space="preserve">) that can’t encode the emoji used throughout the app’s status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—</w:t>
      </w:r>
      <w:r>
        <w:t xml:space="preserve"> </w:t>
      </w:r>
      <w:r>
        <w:rPr>
          <w:rStyle w:val="VerbatimChar"/>
        </w:rPr>
        <w:t xml:space="preserve">streamlit_app/app.py</w:t>
      </w:r>
      <w:r>
        <w:t xml:space="preserve"> </w:t>
      </w:r>
      <w:r>
        <w:t xml:space="preserve">forces UTF-8 stdout/stderr at the very top of the file to prevent local (non-Docker) runs from crashing on the first such print.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MSYS_NO_PATHCONV=1</w:t>
      </w:r>
      <w:r>
        <w:t xml:space="preserve"> </w:t>
      </w:r>
      <w:r>
        <w:t xml:space="preserve">is required when running</w:t>
      </w:r>
      <w:r>
        <w:t xml:space="preserve"> </w:t>
      </w:r>
      <w:r>
        <w:rPr>
          <w:rStyle w:val="VerbatimChar"/>
        </w:rPr>
        <w:t xml:space="preserve">railway ssh</w:t>
      </w:r>
      <w:r>
        <w:t xml:space="preserve">/</w:t>
      </w:r>
      <w:r>
        <w:rPr>
          <w:rStyle w:val="VerbatimChar"/>
        </w:rPr>
        <w:t xml:space="preserve">railway volume</w:t>
      </w:r>
      <w:r>
        <w:t xml:space="preserve"> </w:t>
      </w:r>
      <w:r>
        <w:t xml:space="preserve">commands from Git Bash that reference Unix-style paths (e.g. </w:t>
      </w:r>
      <w:r>
        <w:rPr>
          <w:rStyle w:val="VerbatimChar"/>
        </w:rPr>
        <w:t xml:space="preserve">/app/data/...</w:t>
      </w:r>
      <w:r>
        <w:t xml:space="preserve">) — otherwise Git Bash auto-mangles them into Windows paths and the command fails.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railway ssh</w:t>
      </w:r>
      <w:r>
        <w:t xml:space="preserve"> </w:t>
      </w:r>
      <w:r>
        <w:t xml:space="preserve">does not reliably support piped stdin (hangs indefinitely, confirmed) — for pushing file content to a remote volume, base64-encode in ~20,000-character chunks passed as command</w:t>
      </w:r>
      <w:r>
        <w:t xml:space="preserve"> </w:t>
      </w:r>
      <w:r>
        <w:rPr>
          <w:i/>
          <w:iCs/>
        </w:rPr>
        <w:t xml:space="preserve">arguments</w:t>
      </w:r>
      <w:r>
        <w:t xml:space="preserve">, not piped stdin.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nown-limitations"/>
    <w:p>
      <w:pPr>
        <w:pStyle w:val="Heading2"/>
      </w:pPr>
      <w:r>
        <w:t xml:space="preserve">10. Known Limitations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docs/solution-architecture-document.md</w:t>
      </w:r>
      <w:r>
        <w:t xml:space="preserve"> </w:t>
      </w:r>
      <w:r>
        <w:t xml:space="preserve">§8 for the full, current list (hardcoded super-admin default credentials, unsalted password hashing, WAL-mode inconsistency, the</w:t>
      </w:r>
      <w:r>
        <w:t xml:space="preserve"> </w:t>
      </w:r>
      <w:r>
        <w:rPr>
          <w:rStyle w:val="VerbatimChar"/>
        </w:rPr>
        <w:t xml:space="preserve">research.db</w:t>
      </w:r>
      <w:r>
        <w:t xml:space="preserve">/</w:t>
      </w:r>
      <w:r>
        <w:rPr>
          <w:rStyle w:val="VerbatimChar"/>
        </w:rPr>
        <w:t xml:space="preserve">RESEARCH_DB_PATH</w:t>
      </w:r>
      <w:r>
        <w:t xml:space="preserve"> </w:t>
      </w:r>
      <w:r>
        <w:t xml:space="preserve">configuration mismatch, the non-functional Postgres scaffolding, and several instances of dead/vestigial code) — not duplicated here to avoid the two documents drifting out of sync. Treat the Solution Architecture Document as the source of truth for known limitations; this Programmer’s Guide should only describe</w:t>
      </w:r>
      <w:r>
        <w:t xml:space="preserve"> </w:t>
      </w:r>
      <w:r>
        <w:rPr>
          <w:i/>
          <w:iCs/>
        </w:rPr>
        <w:t xml:space="preserve">how the system works</w:t>
      </w:r>
      <w:r>
        <w:t xml:space="preserve">, not</w:t>
      </w:r>
      <w:r>
        <w:t xml:space="preserve"> </w:t>
      </w:r>
      <w:r>
        <w:rPr>
          <w:i/>
          <w:iCs/>
        </w:rPr>
        <w:t xml:space="preserve">what’s wrong with it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2026-07-12T02:23:48Z</dcterms:created>
  <dcterms:modified xsi:type="dcterms:W3CDTF">2026-07-12T02:23:48Z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