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mbria" w:cs="Cambria" w:eastAsia="Cambria" w:hAnsi="Cambria"/>
          <w:b/>
          <w:bCs/>
          <w:color w:val="0B5563"/>
          <w:sz w:val="44"/>
          <w:szCs w:val="44"/>
        </w:rPr>
        <w:t xml:space="preserve">Algebraic Degree Propagation Computation</w:t>
      </w:r>
    </w:p>
    <w:p>
      <w:pPr>
        <w:spacing w:after="400" w:before="120"/>
        <w:jc w:val="center"/>
      </w:pPr>
      <w:r>
        <w:rPr>
          <w:rFonts w:ascii="Cambria" w:cs="Cambria" w:eastAsia="Cambria" w:hAnsi="Cambria"/>
          <w:b/>
          <w:bCs/>
          <w:color w:val="1A1A1A"/>
          <w:sz w:val="36"/>
          <w:szCs w:val="36"/>
        </w:rPr>
        <w:t xml:space="preserve">for Reduced-Round Keccak-f Using MILP</w:t>
      </w:r>
    </w:p>
    <w:p>
      <w:pPr>
        <w:spacing w:after="100"/>
        <w:jc w:val="center"/>
      </w:pPr>
      <w:r>
        <w:rPr>
          <w:rFonts w:ascii="Calibri" w:cs="Calibri" w:eastAsia="Calibri" w:hAnsi="Calibri"/>
          <w:i/>
          <w:iCs/>
          <w:color w:val="555555"/>
          <w:sz w:val="26"/>
          <w:szCs w:val="26"/>
        </w:rPr>
        <w:t xml:space="preserve">Internship Report</w:t>
      </w:r>
    </w:p>
    <w:p>
      <w:pPr>
        <w:spacing w:before="1400"/>
      </w:pPr>
    </w:p>
    <w:p>
      <w:pPr>
        <w:spacing w:after="60"/>
        <w:jc w:val="center"/>
      </w:pPr>
      <w:r>
        <w:rPr>
          <w:rFonts w:ascii="Calibri" w:cs="Calibri" w:eastAsia="Calibri" w:hAnsi="Calibri"/>
          <w:color w:val="555555"/>
          <w:sz w:val="22"/>
          <w:szCs w:val="22"/>
        </w:rPr>
        <w:t xml:space="preserve">Submitted by</w:t>
      </w:r>
    </w:p>
    <w:p>
      <w:pPr>
        <w:spacing w:after="60"/>
        <w:jc w:val="center"/>
      </w:pPr>
      <w:r>
        <w:rPr>
          <w:rFonts w:ascii="Cambria" w:cs="Cambria" w:eastAsia="Cambria" w:hAnsi="Cambria"/>
          <w:b/>
          <w:bCs/>
          <w:color w:val="1A1A1A"/>
          <w:sz w:val="28"/>
          <w:szCs w:val="28"/>
        </w:rPr>
        <w:t xml:space="preserve">Soumya Limje</w:t>
      </w:r>
    </w:p>
    <w:p>
      <w:pPr>
        <w:spacing w:after="20"/>
        <w:jc w:val="center"/>
      </w:pPr>
      <w:r>
        <w:rPr>
          <w:rFonts w:ascii="Calibri" w:cs="Calibri" w:eastAsia="Calibri" w:hAnsi="Calibri"/>
          <w:color w:val="555555"/>
          <w:sz w:val="22"/>
          <w:szCs w:val="22"/>
        </w:rPr>
        <w:t xml:space="preserve">B.Tech Computer Science, Semester 5</w:t>
      </w:r>
    </w:p>
    <w:p>
      <w:pPr>
        <w:spacing w:after="400"/>
        <w:jc w:val="center"/>
      </w:pPr>
      <w:r>
        <w:rPr>
          <w:rFonts w:ascii="Calibri" w:cs="Calibri" w:eastAsia="Calibri" w:hAnsi="Calibri"/>
          <w:color w:val="555555"/>
          <w:sz w:val="22"/>
          <w:szCs w:val="22"/>
        </w:rPr>
        <w:t xml:space="preserve">Bhilai Institute of Technology, Durg</w:t>
      </w:r>
    </w:p>
    <w:p>
      <w:pPr>
        <w:spacing w:before="800"/>
        <w:jc w:val="center"/>
      </w:pPr>
      <w:r>
        <w:rPr>
          <w:rFonts w:ascii="Calibri" w:cs="Calibri" w:eastAsia="Calibri" w:hAnsi="Calibri"/>
          <w:color w:val="555555"/>
          <w:sz w:val="22"/>
          <w:szCs w:val="22"/>
        </w:rPr>
        <w:t xml:space="preserve">Cryptanalysis Internship</w:t>
      </w:r>
    </w:p>
    <w:p>
      <w:pPr>
        <w:jc w:val="center"/>
      </w:pPr>
      <w:r>
        <w:rPr>
          <w:rFonts w:ascii="Calibri" w:cs="Calibri" w:eastAsia="Calibri" w:hAnsi="Calibri"/>
          <w:b/>
          <w:bCs/>
          <w:color w:val="0B5563"/>
          <w:sz w:val="22"/>
          <w:szCs w:val="22"/>
        </w:rPr>
        <w:t xml:space="preserve">Indian Institute of Technology, Bhilai</w:t>
      </w:r>
    </w:p>
    <w:p>
      <w:r>
        <w:br w:type="page"/>
      </w:r>
    </w:p>
    <w:p>
      <w:pPr>
        <w:spacing w:after="400"/>
        <w:jc w:val="center"/>
      </w:pPr>
      <w:r>
        <w:rPr>
          <w:rFonts w:ascii="Cambria" w:cs="Cambria" w:eastAsia="Cambria" w:hAnsi="Cambria"/>
          <w:b/>
          <w:bCs/>
          <w:color w:val="0B5563"/>
          <w:sz w:val="30"/>
          <w:szCs w:val="30"/>
        </w:rPr>
        <w:t xml:space="preserve">Certificate</w:t>
      </w:r>
    </w:p>
    <w:p>
      <w:pPr>
        <w:spacing w:after="200" w:line="300"/>
        <w:jc w:val="both"/>
      </w:pPr>
      <w:r>
        <w:rPr>
          <w:rFonts w:ascii="Calibri" w:cs="Calibri" w:eastAsia="Calibri" w:hAnsi="Calibri"/>
          <w:b w:val="false"/>
          <w:bCs w:val="false"/>
          <w:i w:val="false"/>
          <w:iCs w:val="false"/>
          <w:color w:val="1A1A1A"/>
          <w:sz w:val="22"/>
          <w:szCs w:val="22"/>
        </w:rPr>
        <w:t xml:space="preserve">This is to certify that the work presented in this report, titled “Algebraic Degree Propagation Computation for Reduced-Round Keccak-f Using MILP”, was carried out by Soumya Limje, B.Tech Computer Science, Semester 5, Bhilai Institute of Technology, Durg, during her cryptanalysis internship at the Indian Institute of Technology, Bhilai, under my supervision.</w:t>
      </w:r>
    </w:p>
    <w:p>
      <w:pPr>
        <w:spacing w:after="200" w:line="300"/>
        <w:jc w:val="both"/>
      </w:pPr>
      <w:r>
        <w:rPr>
          <w:rFonts w:ascii="Calibri" w:cs="Calibri" w:eastAsia="Calibri" w:hAnsi="Calibri"/>
          <w:b w:val="false"/>
          <w:bCs w:val="false"/>
          <w:i w:val="false"/>
          <w:iCs w:val="false"/>
          <w:color w:val="1A1A1A"/>
          <w:sz w:val="22"/>
          <w:szCs w:val="22"/>
        </w:rPr>
        <w:t xml:space="preserve">The work covers the design and implementation of an MILP-based model for computing algebraic degree upper bounds on the Keccak-f permutation, verified against published theoretical results, brute-force computation, and empirical distinguisher testing.</w:t>
      </w:r>
    </w:p>
    <w:p>
      <w:pPr>
        <w:spacing w:before="700"/>
      </w:pPr>
    </w:p>
    <w:p>
      <w:r>
        <w:rPr>
          <w:rFonts w:ascii="Calibri" w:cs="Calibri" w:eastAsia="Calibri" w:hAnsi="Calibri"/>
          <w:color w:val="1A1A1A"/>
          <w:sz w:val="22"/>
          <w:szCs w:val="22"/>
        </w:rPr>
        <w:t xml:space="preserve">_______________________</w:t>
      </w:r>
    </w:p>
    <w:p>
      <w:pPr>
        <w:spacing w:after="20"/>
      </w:pPr>
      <w:r>
        <w:rPr>
          <w:rFonts w:ascii="Calibri" w:cs="Calibri" w:eastAsia="Calibri" w:hAnsi="Calibri"/>
          <w:b/>
          <w:bCs/>
          <w:color w:val="1A1A1A"/>
          <w:sz w:val="22"/>
          <w:szCs w:val="22"/>
        </w:rPr>
        <w:t xml:space="preserve">Dr. Dhiman Saha</w:t>
      </w:r>
    </w:p>
    <w:p>
      <w:r>
        <w:rPr>
          <w:rFonts w:ascii="Calibri" w:cs="Calibri" w:eastAsia="Calibri" w:hAnsi="Calibri"/>
          <w:color w:val="555555"/>
          <w:sz w:val="20"/>
          <w:szCs w:val="20"/>
        </w:rPr>
        <w:t xml:space="preserve">Department of Computer Science and Engineering</w:t>
      </w:r>
    </w:p>
    <w:p>
      <w:r>
        <w:rPr>
          <w:rFonts w:ascii="Calibri" w:cs="Calibri" w:eastAsia="Calibri" w:hAnsi="Calibri"/>
          <w:color w:val="555555"/>
          <w:sz w:val="20"/>
          <w:szCs w:val="20"/>
        </w:rPr>
        <w:t xml:space="preserve">Indian Institute of Technology, Bhilai</w:t>
      </w:r>
    </w:p>
    <w:p>
      <w:r>
        <w:br w:type="page"/>
      </w:r>
    </w:p>
    <w:p>
      <w:pPr>
        <w:spacing w:after="400"/>
        <w:jc w:val="center"/>
      </w:pPr>
      <w:r>
        <w:rPr>
          <w:rFonts w:ascii="Cambria" w:cs="Cambria" w:eastAsia="Cambria" w:hAnsi="Cambria"/>
          <w:b/>
          <w:bCs/>
          <w:color w:val="0B5563"/>
          <w:sz w:val="30"/>
          <w:szCs w:val="30"/>
        </w:rPr>
        <w:t xml:space="preserve">Declaration</w:t>
      </w:r>
    </w:p>
    <w:p>
      <w:pPr>
        <w:spacing w:after="200" w:line="300"/>
        <w:jc w:val="both"/>
      </w:pPr>
      <w:r>
        <w:rPr>
          <w:rFonts w:ascii="Calibri" w:cs="Calibri" w:eastAsia="Calibri" w:hAnsi="Calibri"/>
          <w:b w:val="false"/>
          <w:bCs w:val="false"/>
          <w:i w:val="false"/>
          <w:iCs w:val="false"/>
          <w:color w:val="1A1A1A"/>
          <w:sz w:val="22"/>
          <w:szCs w:val="22"/>
        </w:rPr>
        <w:t xml:space="preserve">I, Soumya Limje, declare that the work described in this report was carried out by me during my cryptanalysis internship at IIT Bhilai, under the guidance of Dr. Dhiman Saha. The mathematical model, the debugging process described in Section 7, and the results presented here reflect my own work and understanding over the course of this internship.</w:t>
      </w:r>
    </w:p>
    <w:p>
      <w:pPr>
        <w:spacing w:after="200" w:line="300"/>
        <w:jc w:val="both"/>
      </w:pPr>
      <w:r>
        <w:rPr>
          <w:rFonts w:ascii="Calibri" w:cs="Calibri" w:eastAsia="Calibri" w:hAnsi="Calibri"/>
          <w:b w:val="false"/>
          <w:bCs w:val="false"/>
          <w:i w:val="false"/>
          <w:iCs w:val="false"/>
          <w:color w:val="1A1A1A"/>
          <w:sz w:val="22"/>
          <w:szCs w:val="22"/>
        </w:rPr>
        <w:t xml:space="preserve">Where I have drawn on published results — the Boura-Canteaut-De Cannière bound, the division property technique, and the zero-sum distinguisher theorem — I have cited the original sources rather than presenting them as my own. This report has not been submitted, in this or any other form, for any other course or qualification.</w:t>
      </w:r>
    </w:p>
    <w:p>
      <w:pPr>
        <w:spacing w:before="700"/>
      </w:pPr>
    </w:p>
    <w:p>
      <w:r>
        <w:rPr>
          <w:rFonts w:ascii="Calibri" w:cs="Calibri" w:eastAsia="Calibri" w:hAnsi="Calibri"/>
          <w:color w:val="1A1A1A"/>
          <w:sz w:val="22"/>
          <w:szCs w:val="22"/>
        </w:rPr>
        <w:t xml:space="preserve">_______________________</w:t>
      </w:r>
    </w:p>
    <w:p>
      <w:r>
        <w:rPr>
          <w:rFonts w:ascii="Calibri" w:cs="Calibri" w:eastAsia="Calibri" w:hAnsi="Calibri"/>
          <w:b/>
          <w:bCs/>
          <w:color w:val="1A1A1A"/>
          <w:sz w:val="22"/>
          <w:szCs w:val="22"/>
        </w:rPr>
        <w:t xml:space="preserve">Soumya Limje</w:t>
      </w:r>
    </w:p>
    <w:p>
      <w:r>
        <w:br w:type="page"/>
      </w:r>
    </w:p>
    <w:p>
      <w:pPr>
        <w:spacing w:after="400"/>
        <w:jc w:val="center"/>
      </w:pPr>
      <w:r>
        <w:rPr>
          <w:rFonts w:ascii="Cambria" w:cs="Cambria" w:eastAsia="Cambria" w:hAnsi="Cambria"/>
          <w:b/>
          <w:bCs/>
          <w:color w:val="0B5563"/>
          <w:sz w:val="30"/>
          <w:szCs w:val="30"/>
        </w:rPr>
        <w:t xml:space="preserve">Acknowledgement</w:t>
      </w:r>
    </w:p>
    <w:p>
      <w:pPr>
        <w:spacing w:after="200" w:line="300"/>
        <w:jc w:val="both"/>
      </w:pPr>
      <w:r>
        <w:rPr>
          <w:rFonts w:ascii="Calibri" w:cs="Calibri" w:eastAsia="Calibri" w:hAnsi="Calibri"/>
          <w:b w:val="false"/>
          <w:bCs w:val="false"/>
          <w:i w:val="false"/>
          <w:iCs w:val="false"/>
          <w:color w:val="1A1A1A"/>
          <w:sz w:val="22"/>
          <w:szCs w:val="22"/>
        </w:rPr>
        <w:t xml:space="preserve">I would like to thank Dr. Dhiman Saha for the opportunity to work on this problem and for the guidance provided throughout the internship, particularly in pushing me to verify every result rather than accept a single method's output at face value — the three-way verification approach used in this report exists because of that push.</w:t>
      </w:r>
    </w:p>
    <w:p>
      <w:pPr>
        <w:spacing w:after="200" w:line="300"/>
        <w:jc w:val="both"/>
      </w:pPr>
      <w:r>
        <w:rPr>
          <w:rFonts w:ascii="Calibri" w:cs="Calibri" w:eastAsia="Calibri" w:hAnsi="Calibri"/>
          <w:b w:val="false"/>
          <w:bCs w:val="false"/>
          <w:i w:val="false"/>
          <w:iCs w:val="false"/>
          <w:color w:val="1A1A1A"/>
          <w:sz w:val="22"/>
          <w:szCs w:val="22"/>
        </w:rPr>
        <w:t xml:space="preserve">I would also like to thank the Department of Computer Science and Engineering at IIT Bhilai for providing the environment and time to work through this problem properly, including the time spent on the debugging described in Section 7, which took longer than the working solution itself but taught me more.</w:t>
      </w:r>
    </w:p>
    <w:p>
      <w:pPr>
        <w:spacing w:after="200" w:line="300"/>
        <w:jc w:val="both"/>
      </w:pPr>
      <w:r>
        <w:rPr>
          <w:rFonts w:ascii="Calibri" w:cs="Calibri" w:eastAsia="Calibri" w:hAnsi="Calibri"/>
          <w:b w:val="false"/>
          <w:bCs w:val="false"/>
          <w:i w:val="false"/>
          <w:iCs w:val="false"/>
          <w:color w:val="1A1A1A"/>
          <w:sz w:val="22"/>
          <w:szCs w:val="22"/>
        </w:rPr>
        <w:t xml:space="preserve">Finally, I want to acknowledge that a working understanding of MILP, CP-SAT, and the specific verification methodology used here did not come naturally to me at the start of this internship — it was built up gradually, through a lot of getting things wrong first, and I think that process is worth being honest about rather than presenting the final result as if it were obvious from the beginning.</w:t>
      </w:r>
    </w:p>
    <w:p>
      <w:r>
        <w:br w:type="page"/>
      </w:r>
    </w:p>
    <w:p>
      <w:pPr>
        <w:spacing w:after="300"/>
      </w:pPr>
      <w:r>
        <w:rPr>
          <w:rFonts w:ascii="Cambria" w:cs="Cambria" w:eastAsia="Cambria" w:hAnsi="Cambria"/>
          <w:b/>
          <w:bCs/>
          <w:color w:val="0B5563"/>
          <w:sz w:val="30"/>
          <w:szCs w:val="30"/>
        </w:rPr>
        <w:t xml:space="preserve">Table of Contents</w:t>
      </w:r>
    </w:p>
    <w:p>
      <w:pPr>
        <w:tabs>
          <w:tab w:val="right" w:pos="9026"/>
        </w:tabs>
        <w:spacing w:after="140"/>
      </w:pPr>
      <w:r>
        <w:rPr>
          <w:rFonts w:ascii="Calibri" w:cs="Calibri" w:eastAsia="Calibri" w:hAnsi="Calibri"/>
          <w:color w:val="1A1A1A"/>
          <w:sz w:val="22"/>
          <w:szCs w:val="22"/>
        </w:rPr>
        <w:t xml:space="preserve">Abstract</w:t>
      </w:r>
      <w:r>
        <w:rPr>
          <w:rFonts w:ascii="Calibri" w:cs="Calibri" w:eastAsia="Calibri" w:hAnsi="Calibri"/>
          <w:color w:val="555555"/>
          <w:sz w:val="22"/>
          <w:szCs w:val="22"/>
        </w:rPr>
        <w:t xml:space="preserve">	6</w:t>
      </w:r>
    </w:p>
    <w:p>
      <w:pPr>
        <w:tabs>
          <w:tab w:val="right" w:pos="9026"/>
        </w:tabs>
        <w:spacing w:after="140"/>
      </w:pPr>
      <w:r>
        <w:rPr>
          <w:rFonts w:ascii="Calibri" w:cs="Calibri" w:eastAsia="Calibri" w:hAnsi="Calibri"/>
          <w:color w:val="1A1A1A"/>
          <w:sz w:val="22"/>
          <w:szCs w:val="22"/>
        </w:rPr>
        <w:t xml:space="preserve">1. Introduction and Objective</w:t>
      </w:r>
      <w:r>
        <w:rPr>
          <w:rFonts w:ascii="Calibri" w:cs="Calibri" w:eastAsia="Calibri" w:hAnsi="Calibri"/>
          <w:color w:val="555555"/>
          <w:sz w:val="22"/>
          <w:szCs w:val="22"/>
        </w:rPr>
        <w:t xml:space="preserve">	7</w:t>
      </w:r>
    </w:p>
    <w:p>
      <w:pPr>
        <w:tabs>
          <w:tab w:val="right" w:pos="9026"/>
        </w:tabs>
        <w:spacing w:after="140"/>
      </w:pPr>
      <w:r>
        <w:rPr>
          <w:rFonts w:ascii="Calibri" w:cs="Calibri" w:eastAsia="Calibri" w:hAnsi="Calibri"/>
          <w:color w:val="1A1A1A"/>
          <w:sz w:val="22"/>
          <w:szCs w:val="22"/>
        </w:rPr>
        <w:t xml:space="preserve">2. Background</w:t>
      </w:r>
      <w:r>
        <w:rPr>
          <w:rFonts w:ascii="Calibri" w:cs="Calibri" w:eastAsia="Calibri" w:hAnsi="Calibri"/>
          <w:color w:val="555555"/>
          <w:sz w:val="22"/>
          <w:szCs w:val="22"/>
        </w:rPr>
        <w:t xml:space="preserve">	7</w:t>
      </w:r>
    </w:p>
    <w:p>
      <w:pPr>
        <w:tabs>
          <w:tab w:val="right" w:pos="9026"/>
        </w:tabs>
        <w:spacing w:after="140"/>
      </w:pPr>
      <w:r>
        <w:rPr>
          <w:rFonts w:ascii="Calibri" w:cs="Calibri" w:eastAsia="Calibri" w:hAnsi="Calibri"/>
          <w:color w:val="1A1A1A"/>
          <w:sz w:val="22"/>
          <w:szCs w:val="22"/>
        </w:rPr>
        <w:t xml:space="preserve">3. Problem Statement: Why Direct Computation Fails</w:t>
      </w:r>
      <w:r>
        <w:rPr>
          <w:rFonts w:ascii="Calibri" w:cs="Calibri" w:eastAsia="Calibri" w:hAnsi="Calibri"/>
          <w:color w:val="555555"/>
          <w:sz w:val="22"/>
          <w:szCs w:val="22"/>
        </w:rPr>
        <w:t xml:space="preserve">	9</w:t>
      </w:r>
    </w:p>
    <w:p>
      <w:pPr>
        <w:tabs>
          <w:tab w:val="right" w:pos="9026"/>
        </w:tabs>
        <w:spacing w:after="140"/>
      </w:pPr>
      <w:r>
        <w:rPr>
          <w:rFonts w:ascii="Calibri" w:cs="Calibri" w:eastAsia="Calibri" w:hAnsi="Calibri"/>
          <w:color w:val="1A1A1A"/>
          <w:sz w:val="22"/>
          <w:szCs w:val="22"/>
        </w:rPr>
        <w:t xml:space="preserve">4. Methodology</w:t>
      </w:r>
      <w:r>
        <w:rPr>
          <w:rFonts w:ascii="Calibri" w:cs="Calibri" w:eastAsia="Calibri" w:hAnsi="Calibri"/>
          <w:color w:val="555555"/>
          <w:sz w:val="22"/>
          <w:szCs w:val="22"/>
        </w:rPr>
        <w:t xml:space="preserve">	9</w:t>
      </w:r>
    </w:p>
    <w:p>
      <w:pPr>
        <w:tabs>
          <w:tab w:val="right" w:pos="9026"/>
        </w:tabs>
        <w:spacing w:after="140"/>
      </w:pPr>
      <w:r>
        <w:rPr>
          <w:rFonts w:ascii="Calibri" w:cs="Calibri" w:eastAsia="Calibri" w:hAnsi="Calibri"/>
          <w:color w:val="1A1A1A"/>
          <w:sz w:val="22"/>
          <w:szCs w:val="22"/>
        </w:rPr>
        <w:t xml:space="preserve">5. The Boura–Canteaut–De Cannière Bound</w:t>
      </w:r>
      <w:r>
        <w:rPr>
          <w:rFonts w:ascii="Calibri" w:cs="Calibri" w:eastAsia="Calibri" w:hAnsi="Calibri"/>
          <w:color w:val="555555"/>
          <w:sz w:val="22"/>
          <w:szCs w:val="22"/>
        </w:rPr>
        <w:t xml:space="preserve">	11</w:t>
      </w:r>
    </w:p>
    <w:p>
      <w:pPr>
        <w:tabs>
          <w:tab w:val="right" w:pos="9026"/>
        </w:tabs>
        <w:spacing w:after="140"/>
      </w:pPr>
      <w:r>
        <w:rPr>
          <w:rFonts w:ascii="Calibri" w:cs="Calibri" w:eastAsia="Calibri" w:hAnsi="Calibri"/>
          <w:color w:val="1A1A1A"/>
          <w:sz w:val="22"/>
          <w:szCs w:val="22"/>
        </w:rPr>
        <w:t xml:space="preserve">6. Implementation Overview</w:t>
      </w:r>
      <w:r>
        <w:rPr>
          <w:rFonts w:ascii="Calibri" w:cs="Calibri" w:eastAsia="Calibri" w:hAnsi="Calibri"/>
          <w:color w:val="555555"/>
          <w:sz w:val="22"/>
          <w:szCs w:val="22"/>
        </w:rPr>
        <w:t xml:space="preserve">	12</w:t>
      </w:r>
    </w:p>
    <w:p>
      <w:pPr>
        <w:tabs>
          <w:tab w:val="right" w:pos="9026"/>
        </w:tabs>
        <w:spacing w:after="140"/>
      </w:pPr>
      <w:r>
        <w:rPr>
          <w:rFonts w:ascii="Calibri" w:cs="Calibri" w:eastAsia="Calibri" w:hAnsi="Calibri"/>
          <w:color w:val="1A1A1A"/>
          <w:sz w:val="22"/>
          <w:szCs w:val="22"/>
        </w:rPr>
        <w:t xml:space="preserve">7. Challenges and Debugging</w:t>
      </w:r>
      <w:r>
        <w:rPr>
          <w:rFonts w:ascii="Calibri" w:cs="Calibri" w:eastAsia="Calibri" w:hAnsi="Calibri"/>
          <w:color w:val="555555"/>
          <w:sz w:val="22"/>
          <w:szCs w:val="22"/>
        </w:rPr>
        <w:t xml:space="preserve">	13</w:t>
      </w:r>
    </w:p>
    <w:p>
      <w:pPr>
        <w:tabs>
          <w:tab w:val="right" w:pos="9026"/>
        </w:tabs>
        <w:spacing w:after="140"/>
      </w:pPr>
      <w:r>
        <w:rPr>
          <w:rFonts w:ascii="Calibri" w:cs="Calibri" w:eastAsia="Calibri" w:hAnsi="Calibri"/>
          <w:color w:val="1A1A1A"/>
          <w:sz w:val="22"/>
          <w:szCs w:val="22"/>
        </w:rPr>
        <w:t xml:space="preserve">8. Verification Methodology</w:t>
      </w:r>
      <w:r>
        <w:rPr>
          <w:rFonts w:ascii="Calibri" w:cs="Calibri" w:eastAsia="Calibri" w:hAnsi="Calibri"/>
          <w:color w:val="555555"/>
          <w:sz w:val="22"/>
          <w:szCs w:val="22"/>
        </w:rPr>
        <w:t xml:space="preserve">	14</w:t>
      </w:r>
    </w:p>
    <w:p>
      <w:pPr>
        <w:tabs>
          <w:tab w:val="right" w:pos="9026"/>
        </w:tabs>
        <w:spacing w:after="140"/>
      </w:pPr>
      <w:r>
        <w:rPr>
          <w:rFonts w:ascii="Calibri" w:cs="Calibri" w:eastAsia="Calibri" w:hAnsi="Calibri"/>
          <w:color w:val="1A1A1A"/>
          <w:sz w:val="22"/>
          <w:szCs w:val="22"/>
        </w:rPr>
        <w:t xml:space="preserve">9. Results</w:t>
      </w:r>
      <w:r>
        <w:rPr>
          <w:rFonts w:ascii="Calibri" w:cs="Calibri" w:eastAsia="Calibri" w:hAnsi="Calibri"/>
          <w:color w:val="555555"/>
          <w:sz w:val="22"/>
          <w:szCs w:val="22"/>
        </w:rPr>
        <w:t xml:space="preserve">	16</w:t>
      </w:r>
    </w:p>
    <w:p>
      <w:pPr>
        <w:tabs>
          <w:tab w:val="right" w:pos="9026"/>
        </w:tabs>
        <w:spacing w:after="140"/>
      </w:pPr>
      <w:r>
        <w:rPr>
          <w:rFonts w:ascii="Calibri" w:cs="Calibri" w:eastAsia="Calibri" w:hAnsi="Calibri"/>
          <w:color w:val="1A1A1A"/>
          <w:sz w:val="22"/>
          <w:szCs w:val="22"/>
        </w:rPr>
        <w:t xml:space="preserve">10. Conclusion</w:t>
      </w:r>
      <w:r>
        <w:rPr>
          <w:rFonts w:ascii="Calibri" w:cs="Calibri" w:eastAsia="Calibri" w:hAnsi="Calibri"/>
          <w:color w:val="555555"/>
          <w:sz w:val="22"/>
          <w:szCs w:val="22"/>
        </w:rPr>
        <w:t xml:space="preserve">	17</w:t>
      </w:r>
    </w:p>
    <w:p>
      <w:pPr>
        <w:tabs>
          <w:tab w:val="right" w:pos="9026"/>
        </w:tabs>
        <w:spacing w:after="140"/>
      </w:pPr>
      <w:r>
        <w:rPr>
          <w:rFonts w:ascii="Calibri" w:cs="Calibri" w:eastAsia="Calibri" w:hAnsi="Calibri"/>
          <w:color w:val="1A1A1A"/>
          <w:sz w:val="22"/>
          <w:szCs w:val="22"/>
        </w:rPr>
        <w:t xml:space="preserve">References</w:t>
      </w:r>
      <w:r>
        <w:rPr>
          <w:rFonts w:ascii="Calibri" w:cs="Calibri" w:eastAsia="Calibri" w:hAnsi="Calibri"/>
          <w:color w:val="555555"/>
          <w:sz w:val="22"/>
          <w:szCs w:val="22"/>
        </w:rPr>
        <w:t xml:space="preserve">	17</w:t>
      </w:r>
    </w:p>
    <w:p>
      <w:r>
        <w:br w:type="page"/>
      </w:r>
    </w:p>
    <w:p>
      <w:pPr>
        <w:pStyle w:val="Heading1"/>
        <w:spacing w:after="160" w:before="360"/>
      </w:pPr>
      <w:r>
        <w:rPr>
          <w:rFonts w:ascii="Cambria" w:cs="Cambria" w:eastAsia="Cambria" w:hAnsi="Cambria"/>
          <w:b/>
          <w:bCs/>
          <w:color w:val="0B5563"/>
          <w:sz w:val="30"/>
          <w:szCs w:val="30"/>
        </w:rPr>
        <w:t xml:space="preserve">Abstract</w:t>
      </w:r>
    </w:p>
    <w:p>
      <w:pPr>
        <w:spacing w:after="200" w:line="300"/>
        <w:jc w:val="both"/>
      </w:pPr>
      <w:r>
        <w:rPr>
          <w:rFonts w:ascii="Calibri" w:cs="Calibri" w:eastAsia="Calibri" w:hAnsi="Calibri"/>
          <w:b w:val="false"/>
          <w:bCs w:val="false"/>
          <w:i w:val="false"/>
          <w:iCs w:val="false"/>
          <w:color w:val="1A1A1A"/>
          <w:sz w:val="22"/>
          <w:szCs w:val="22"/>
        </w:rPr>
        <w:t xml:space="preserve">This report documents the work carried out during my cryptanalysis internship, where I was asked to design a Mixed-Integer Linear Programming (MILP) model to compute algebraic degree upper bounds for reduced-round variants of the Keccak-f permutation, the core building block of SHA-3. The specific ask was to build this for state widths of 50 and 100 bits, later extended to 200 and 400 bits, and to verify whatever numbers the model produced against existing published results rather than trusting a single method blindly.</w:t>
      </w:r>
    </w:p>
    <w:p>
      <w:pPr>
        <w:spacing w:after="200" w:line="300"/>
        <w:jc w:val="both"/>
      </w:pPr>
      <w:r>
        <w:rPr>
          <w:rFonts w:ascii="Calibri" w:cs="Calibri" w:eastAsia="Calibri" w:hAnsi="Calibri"/>
          <w:b w:val="false"/>
          <w:bCs w:val="false"/>
          <w:i w:val="false"/>
          <w:iCs w:val="false"/>
          <w:color w:val="1A1A1A"/>
          <w:sz w:val="22"/>
          <w:szCs w:val="22"/>
        </w:rPr>
        <w:t xml:space="preserve">The final system encodes the round function (theta, rho, pi, chi, iota) as a division-property trail search, expressed as a Boolean MILP model, and solved using Google OR-Tools' CP-SAT engine. The resulting upper bounds were cross-checked against three independent sources: the closed-form bound published by Boura, Canteaut and De Cannière (FSE 2011), a brute-force computation of the exact algebraic normal form for the first two rounds, and an empirical zero-sum distinguisher test run directly against the real cipher. All three methods agreed exactly at every round that could be certified, across every state width tested.</w:t>
      </w:r>
    </w:p>
    <w:p>
      <w:pPr>
        <w:spacing w:after="200" w:line="300"/>
        <w:jc w:val="both"/>
      </w:pPr>
      <w:r>
        <w:rPr>
          <w:rFonts w:ascii="Calibri" w:cs="Calibri" w:eastAsia="Calibri" w:hAnsi="Calibri"/>
          <w:b w:val="false"/>
          <w:bCs w:val="false"/>
          <w:i w:val="false"/>
          <w:iCs w:val="false"/>
          <w:color w:val="1A1A1A"/>
          <w:sz w:val="22"/>
          <w:szCs w:val="22"/>
        </w:rPr>
        <w:t xml:space="preserve">Beyond the numeric results, this report also documents the mistakes made along the way — a modelling bug that produced a mathematically impossible answer at round 1, a missing model-construction step that broke compilation entirely, and a heuristic shortcut that turned out to be unreliable and had to be replaced with an actual solver. I am including these because they were the most instructive part of the internship, and because I think a report that hides the debugging process gives a false impression of how this kind of work actually happens.</w:t>
      </w:r>
    </w:p>
    <w:p>
      <w:r>
        <w:br w:type="page"/>
      </w:r>
    </w:p>
    <w:p>
      <w:pPr>
        <w:pStyle w:val="Heading1"/>
        <w:spacing w:after="160" w:before="360"/>
      </w:pPr>
      <w:r>
        <w:rPr>
          <w:rFonts w:ascii="Cambria" w:cs="Cambria" w:eastAsia="Cambria" w:hAnsi="Cambria"/>
          <w:b/>
          <w:bCs/>
          <w:color w:val="0B5563"/>
          <w:sz w:val="30"/>
          <w:szCs w:val="30"/>
        </w:rPr>
        <w:t xml:space="preserve">1. Introduction and Objective</w:t>
      </w:r>
    </w:p>
    <w:p>
      <w:pPr>
        <w:spacing w:after="200" w:line="300"/>
        <w:jc w:val="both"/>
      </w:pPr>
      <w:r>
        <w:rPr>
          <w:rFonts w:ascii="Calibri" w:cs="Calibri" w:eastAsia="Calibri" w:hAnsi="Calibri"/>
          <w:b w:val="false"/>
          <w:bCs w:val="false"/>
          <w:i w:val="false"/>
          <w:iCs w:val="false"/>
          <w:color w:val="1A1A1A"/>
          <w:sz w:val="22"/>
          <w:szCs w:val="22"/>
        </w:rPr>
        <w:t xml:space="preserve">The internship brief, as given to me by my mentor, was to design an MILP model that computes the algebraic degree of Keccak-f's round function after a given number of rounds, initially for state widths of 50 and 100 bits, and to treat this as an upper bound rather than an exact value — exact computation, as I discovered fairly early on, is not something any method can realistically do beyond the first couple of rounds. The reasoning behind this brief is that the algebraic degree of a cryptographic permutation directly determines how vulnerable it is to higher-order differential and zero-sum attacks, so having an automated, verifiable way to track this quantity round by round is useful both for understanding Keccak specifically and, more generally, for building tooling that could be pointed at other SPN-based permutations.</w:t>
      </w:r>
    </w:p>
    <w:p>
      <w:pPr>
        <w:spacing w:after="200" w:line="300"/>
        <w:jc w:val="both"/>
      </w:pPr>
      <w:r>
        <w:rPr>
          <w:rFonts w:ascii="Calibri" w:cs="Calibri" w:eastAsia="Calibri" w:hAnsi="Calibri"/>
          <w:b w:val="false"/>
          <w:bCs w:val="false"/>
          <w:i w:val="false"/>
          <w:iCs w:val="false"/>
          <w:color w:val="1A1A1A"/>
          <w:sz w:val="22"/>
          <w:szCs w:val="22"/>
        </w:rPr>
        <w:t xml:space="preserve">This report is structured to first build up the background a new reader would need — what MILP actually means, what algebraic degree is, and how Keccak's round function is structured — before explaining why a direct computational approach fails, how the MILP model was actually built, what went wrong along the way, and finally what was verified and how.</w:t>
      </w:r>
    </w:p>
    <w:p>
      <w:pPr>
        <w:pStyle w:val="Heading1"/>
        <w:spacing w:after="160" w:before="360"/>
      </w:pPr>
      <w:r>
        <w:rPr>
          <w:rFonts w:ascii="Cambria" w:cs="Cambria" w:eastAsia="Cambria" w:hAnsi="Cambria"/>
          <w:b/>
          <w:bCs/>
          <w:color w:val="0B5563"/>
          <w:sz w:val="30"/>
          <w:szCs w:val="30"/>
        </w:rPr>
        <w:t xml:space="preserve">2. Background</w:t>
      </w:r>
    </w:p>
    <w:p>
      <w:pPr>
        <w:pStyle w:val="Heading2"/>
        <w:spacing w:after="120" w:before="260"/>
      </w:pPr>
      <w:r>
        <w:rPr>
          <w:rFonts w:ascii="Cambria" w:cs="Cambria" w:eastAsia="Cambria" w:hAnsi="Cambria"/>
          <w:b/>
          <w:bCs/>
          <w:color w:val="1A1A1A"/>
          <w:sz w:val="25"/>
          <w:szCs w:val="25"/>
        </w:rPr>
        <w:t xml:space="preserve">2.1 What MILP Means</w:t>
      </w:r>
    </w:p>
    <w:p>
      <w:pPr>
        <w:spacing w:after="200" w:line="300"/>
        <w:jc w:val="both"/>
      </w:pPr>
      <w:r>
        <w:rPr>
          <w:rFonts w:ascii="Calibri" w:cs="Calibri" w:eastAsia="Calibri" w:hAnsi="Calibri"/>
          <w:b w:val="false"/>
          <w:bCs w:val="false"/>
          <w:i w:val="false"/>
          <w:iCs w:val="false"/>
          <w:color w:val="1A1A1A"/>
          <w:sz w:val="22"/>
          <w:szCs w:val="22"/>
        </w:rPr>
        <w:t xml:space="preserve">MILP stands for Mixed-Integer Linear Programming, and each word in that name constrains what kind of problem it can describe.</w:t>
      </w:r>
    </w:p>
    <w:p>
      <w:pPr>
        <w:pStyle w:val="ListParagraph"/>
        <w:numPr>
          <w:ilvl w:val="0"/>
          <w:numId w:val="1"/>
        </w:numPr>
        <w:spacing w:after="100" w:line="280"/>
      </w:pPr>
      <w:r>
        <w:rPr>
          <w:rFonts w:ascii="Calibri" w:cs="Calibri" w:eastAsia="Calibri" w:hAnsi="Calibri"/>
          <w:color w:val="1A1A1A"/>
          <w:sz w:val="22"/>
          <w:szCs w:val="22"/>
        </w:rPr>
        <w:t xml:space="preserve">Mixed — the model's variables do not all have to be the same type. Some can be binary (0 or 1), some general integers, some continuous. A single model can mix all three.</w:t>
      </w:r>
    </w:p>
    <w:p>
      <w:pPr>
        <w:pStyle w:val="ListParagraph"/>
        <w:numPr>
          <w:ilvl w:val="0"/>
          <w:numId w:val="1"/>
        </w:numPr>
        <w:spacing w:after="100" w:line="280"/>
      </w:pPr>
      <w:r>
        <w:rPr>
          <w:rFonts w:ascii="Calibri" w:cs="Calibri" w:eastAsia="Calibri" w:hAnsi="Calibri"/>
          <w:color w:val="1A1A1A"/>
          <w:sz w:val="22"/>
          <w:szCs w:val="22"/>
        </w:rPr>
        <w:t xml:space="preserve">Integer — at least some variables are restricted to whole numbers, rather than being allowed to take any fractional value.</w:t>
      </w:r>
    </w:p>
    <w:p>
      <w:pPr>
        <w:pStyle w:val="ListParagraph"/>
        <w:numPr>
          <w:ilvl w:val="0"/>
          <w:numId w:val="1"/>
        </w:numPr>
        <w:spacing w:after="100" w:line="280"/>
      </w:pPr>
      <w:r>
        <w:rPr>
          <w:rFonts w:ascii="Calibri" w:cs="Calibri" w:eastAsia="Calibri" w:hAnsi="Calibri"/>
          <w:color w:val="1A1A1A"/>
          <w:sz w:val="22"/>
          <w:szCs w:val="22"/>
        </w:rPr>
        <w:t xml:space="preserve">Linear — every rule (constraint) in the model must be a sum of variables, each multiplied only by a fixed constant. No variable is ever allowed to multiply another variable directly — that is the one hard restriction that makes the whole framework solvable in a structured way.</w:t>
      </w:r>
    </w:p>
    <w:p>
      <w:pPr>
        <w:pStyle w:val="ListParagraph"/>
        <w:numPr>
          <w:ilvl w:val="0"/>
          <w:numId w:val="1"/>
        </w:numPr>
        <w:spacing w:after="100" w:line="280"/>
      </w:pPr>
      <w:r>
        <w:rPr>
          <w:rFonts w:ascii="Calibri" w:cs="Calibri" w:eastAsia="Calibri" w:hAnsi="Calibri"/>
          <w:color w:val="1A1A1A"/>
          <w:sz w:val="22"/>
          <w:szCs w:val="22"/>
        </w:rPr>
        <w:t xml:space="preserve">Programming — this is a historical term from the 1940s meaning “planning” or “optimization”. It predates computer programming and has nothing to do with writing code.</w:t>
      </w:r>
    </w:p>
    <w:p>
      <w:pPr>
        <w:spacing w:after="200" w:line="300"/>
        <w:jc w:val="both"/>
      </w:pPr>
      <w:r>
        <w:rPr>
          <w:rFonts w:ascii="Calibri" w:cs="Calibri" w:eastAsia="Calibri" w:hAnsi="Calibri"/>
          <w:b w:val="false"/>
          <w:bCs w:val="false"/>
          <w:i w:val="false"/>
          <w:iCs w:val="false"/>
          <w:color w:val="1A1A1A"/>
          <w:sz w:val="22"/>
          <w:szCs w:val="22"/>
        </w:rPr>
        <w:t xml:space="preserve">In this project, every variable used is binary (0 or 1) — the model never needed general integers or continuous variables, so it is technically a pure 0/1 linear program, which is a special case of MILP.</w:t>
      </w:r>
    </w:p>
    <w:p>
      <w:pPr>
        <w:pStyle w:val="Heading2"/>
        <w:spacing w:after="120" w:before="260"/>
      </w:pPr>
      <w:r>
        <w:rPr>
          <w:rFonts w:ascii="Cambria" w:cs="Cambria" w:eastAsia="Cambria" w:hAnsi="Cambria"/>
          <w:b/>
          <w:bCs/>
          <w:color w:val="1A1A1A"/>
          <w:sz w:val="25"/>
          <w:szCs w:val="25"/>
        </w:rPr>
        <w:t xml:space="preserve">2.2 What Algebraic Degree Is</w:t>
      </w:r>
    </w:p>
    <w:p>
      <w:pPr>
        <w:spacing w:after="200" w:line="300"/>
        <w:jc w:val="both"/>
      </w:pPr>
      <w:r>
        <w:rPr>
          <w:rFonts w:ascii="Calibri" w:cs="Calibri" w:eastAsia="Calibri" w:hAnsi="Calibri"/>
          <w:b w:val="false"/>
          <w:bCs w:val="false"/>
          <w:i w:val="false"/>
          <w:iCs w:val="false"/>
          <w:color w:val="1A1A1A"/>
          <w:sz w:val="22"/>
          <w:szCs w:val="22"/>
        </w:rPr>
        <w:t xml:space="preserve">The algebraic degree of a Boolean function is the size of the largest group of input variables that get multiplied together anywhere in its formula (its Algebraic Normal Form, or ANF) — it is not the number of terms in the formula. This distinction matters and is easy to get wrong.</w:t>
      </w:r>
    </w:p>
    <w:p>
      <w:pPr>
        <w:spacing w:after="200" w:line="300"/>
        <w:jc w:val="both"/>
      </w:pPr>
      <w:r>
        <w:rPr>
          <w:rFonts w:ascii="Calibri" w:cs="Calibri" w:eastAsia="Calibri" w:hAnsi="Calibri"/>
          <w:b w:val="false"/>
          <w:bCs w:val="false"/>
          <w:i w:val="false"/>
          <w:iCs w:val="false"/>
          <w:color w:val="1A1A1A"/>
          <w:sz w:val="22"/>
          <w:szCs w:val="22"/>
        </w:rPr>
        <w:t xml:space="preserve">For example, f(x) = x₁ + x₂ + x₃ + x₄ has four terms, but nothing in it is ever multiplied together, so its degree is 1. In contrast, f(x) = x₁·x₂ has only one term, but that term multiplies two variables together, giving it degree 2.</w:t>
      </w:r>
    </w:p>
    <w:p>
      <w:pPr>
        <w:spacing w:after="200" w:line="300"/>
        <w:jc w:val="both"/>
      </w:pPr>
      <w:r>
        <w:rPr>
          <w:rFonts w:ascii="Calibri" w:cs="Calibri" w:eastAsia="Calibri" w:hAnsi="Calibri"/>
          <w:b w:val="false"/>
          <w:bCs w:val="false"/>
          <w:i w:val="false"/>
          <w:iCs w:val="false"/>
          <w:color w:val="1A1A1A"/>
          <w:sz w:val="22"/>
          <w:szCs w:val="22"/>
        </w:rPr>
        <w:t xml:space="preserve">Degree matters for security because it controls how hard the cipher's equations are to solve directly. A low-degree function can, in principle, be attacked using higher-order differential or algebraic techniques — the equations describing it are simple enough to manipulate. A high-degree function behaves close to a random function, and no such shortcut is available. Tracking how quickly degree grows, round by round, is therefore a direct way of measuring how many rounds a cipher needs before this particular class of attack stops being feasible.</w:t>
      </w:r>
    </w:p>
    <w:p>
      <w:pPr>
        <w:pStyle w:val="Heading2"/>
        <w:spacing w:after="120" w:before="260"/>
      </w:pPr>
      <w:r>
        <w:rPr>
          <w:rFonts w:ascii="Cambria" w:cs="Cambria" w:eastAsia="Cambria" w:hAnsi="Cambria"/>
          <w:b/>
          <w:bCs/>
          <w:color w:val="1A1A1A"/>
          <w:sz w:val="25"/>
          <w:szCs w:val="25"/>
        </w:rPr>
        <w:t xml:space="preserve">2.3 The Keccak-f Permutation</w:t>
      </w:r>
    </w:p>
    <w:p>
      <w:pPr>
        <w:spacing w:after="200" w:line="300"/>
        <w:jc w:val="both"/>
      </w:pPr>
      <w:r>
        <w:rPr>
          <w:rFonts w:ascii="Calibri" w:cs="Calibri" w:eastAsia="Calibri" w:hAnsi="Calibri"/>
          <w:b w:val="false"/>
          <w:bCs w:val="false"/>
          <w:i w:val="false"/>
          <w:iCs w:val="false"/>
          <w:color w:val="1A1A1A"/>
          <w:sz w:val="22"/>
          <w:szCs w:val="22"/>
        </w:rPr>
        <w:t xml:space="preserve">Keccak-f is the permutation underlying SHA-3, the current U.S. federal hashing standard. Its job is to scramble a fixed-size internal state through repeated rounds until the output is computationally indistinguishable from random noise.</w:t>
      </w:r>
    </w:p>
    <w:p>
      <w:pPr>
        <w:pStyle w:val="ListParagraph"/>
        <w:numPr>
          <w:ilvl w:val="0"/>
          <w:numId w:val="1"/>
        </w:numPr>
        <w:spacing w:after="100" w:line="280"/>
      </w:pPr>
      <w:r>
        <w:rPr>
          <w:rFonts w:ascii="Calibri" w:cs="Calibri" w:eastAsia="Calibri" w:hAnsi="Calibri"/>
          <w:color w:val="1A1A1A"/>
          <w:sz w:val="22"/>
          <w:szCs w:val="22"/>
        </w:rPr>
        <w:t xml:space="preserve">The state is arranged as a 5×5 array of “lanes”, each lane being w bits wide. The total state width is b = 25w.</w:t>
      </w:r>
    </w:p>
    <w:p>
      <w:pPr>
        <w:pStyle w:val="ListParagraph"/>
        <w:numPr>
          <w:ilvl w:val="0"/>
          <w:numId w:val="1"/>
        </w:numPr>
        <w:spacing w:after="100" w:line="280"/>
      </w:pPr>
      <w:r>
        <w:rPr>
          <w:rFonts w:ascii="Calibri" w:cs="Calibri" w:eastAsia="Calibri" w:hAnsi="Calibri"/>
          <w:color w:val="1A1A1A"/>
          <w:sz w:val="22"/>
          <w:szCs w:val="22"/>
        </w:rPr>
        <w:t xml:space="preserve">The full, standardised version uses w = 64 (b = 1600 bits) and runs for 24 rounds.</w:t>
      </w:r>
    </w:p>
    <w:p>
      <w:pPr>
        <w:pStyle w:val="ListParagraph"/>
        <w:numPr>
          <w:ilvl w:val="0"/>
          <w:numId w:val="1"/>
        </w:numPr>
        <w:spacing w:after="100" w:line="280"/>
      </w:pPr>
      <w:r>
        <w:rPr>
          <w:rFonts w:ascii="Calibri" w:cs="Calibri" w:eastAsia="Calibri" w:hAnsi="Calibri"/>
          <w:color w:val="1A1A1A"/>
          <w:sz w:val="22"/>
          <w:szCs w:val="22"/>
        </w:rPr>
        <w:t xml:space="preserve">For this project, reduced ‘toy’ and ‘lightweight’ widths were used — b = 25, 50, 100, 200 and 400 — since these are small enough to actually solve within reasonable time, while still being structurally identical (just narrower lanes) to the real cipher. This scaling relationship is sometimes referred to informally as the Matryoshka property of Keccak: a result proven on a narrow lane width generalises directly to wider ones.</w:t>
      </w:r>
    </w:p>
    <w:p>
      <w:pPr>
        <w:pStyle w:val="Heading2"/>
        <w:spacing w:after="120" w:before="260"/>
      </w:pPr>
      <w:r>
        <w:rPr>
          <w:rFonts w:ascii="Cambria" w:cs="Cambria" w:eastAsia="Cambria" w:hAnsi="Cambria"/>
          <w:b/>
          <w:bCs/>
          <w:color w:val="1A1A1A"/>
          <w:sz w:val="25"/>
          <w:szCs w:val="25"/>
        </w:rPr>
        <w:t xml:space="preserve">2.4 The Round Function: Five Steps</w:t>
      </w:r>
    </w:p>
    <w:p>
      <w:pPr>
        <w:spacing w:after="200" w:line="300"/>
        <w:jc w:val="both"/>
      </w:pPr>
      <w:r>
        <w:rPr>
          <w:rFonts w:ascii="Calibri" w:cs="Calibri" w:eastAsia="Calibri" w:hAnsi="Calibri"/>
          <w:b w:val="false"/>
          <w:bCs w:val="false"/>
          <w:i w:val="false"/>
          <w:iCs w:val="false"/>
          <w:color w:val="1A1A1A"/>
          <w:sz w:val="22"/>
          <w:szCs w:val="22"/>
        </w:rPr>
        <w:t xml:space="preserve">Each round of Keccak-f applies five sub-transformations, always in the same order: theta, rho, pi, chi, iota.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200"/>
      </w:tblGrid>
      <w:tr>
        <w:trPr>
          <w:tblHeader/>
        </w:trPr>
        <w:tc>
          <w:tcPr>
            <w:tcW w:type="dxa" w:w="2400"/>
            <w:shd w:fill="0B556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Step</w:t>
            </w:r>
          </w:p>
        </w:tc>
        <w:tc>
          <w:tcPr>
            <w:tcW w:type="dxa" w:w="4200"/>
            <w:shd w:fill="0B556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What it does</w:t>
            </w:r>
          </w:p>
        </w:tc>
        <w:tc>
          <w:tcPr>
            <w:tcW w:type="dxa" w:w="3200"/>
            <w:shd w:fill="0B556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Effect on degree</w:t>
            </w:r>
          </w:p>
        </w:tc>
      </w:tr>
      <w:tr>
        <w:tc>
          <w:tcPr>
            <w:tcW w:type="dxa" w:w="2400"/>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θ  Theta</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Linear column XOR across the state.</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Cannot raise degree — it is purely linear.</w:t>
            </w:r>
          </w:p>
        </w:tc>
      </w:tr>
      <w:tr>
        <w:tc>
          <w:tcPr>
            <w:tcW w:type="dxa" w:w="2400"/>
            <w:shd w:fill="EEF3F3"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ρ  Rho</w:t>
            </w:r>
          </w:p>
        </w:tc>
        <w:tc>
          <w:tcPr>
            <w:tcW w:type="dxa" w:w="420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Cyclically rotates bits within each lane.</w:t>
            </w:r>
          </w:p>
        </w:tc>
        <w:tc>
          <w:tcPr>
            <w:tcW w:type="dxa" w:w="320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Pure relabelling; degree unchanged.</w:t>
            </w:r>
          </w:p>
        </w:tc>
      </w:tr>
      <w:tr>
        <w:tc>
          <w:tcPr>
            <w:tcW w:type="dxa" w:w="2400"/>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π  Pi</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Repositions entire lanes.</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Pure relabelling; degree unchanged.</w:t>
            </w:r>
          </w:p>
        </w:tc>
      </w:tr>
      <w:tr>
        <w:tc>
          <w:tcPr>
            <w:tcW w:type="dxa" w:w="2400"/>
            <w:shd w:fill="EEF3F3"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χ  Chi</w:t>
            </w:r>
          </w:p>
        </w:tc>
        <w:tc>
          <w:tcPr>
            <w:tcW w:type="dxa" w:w="420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The only nonlinear step in the round.</w:t>
            </w:r>
          </w:p>
        </w:tc>
        <w:tc>
          <w:tcPr>
            <w:tcW w:type="dxa" w:w="320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The sole place degree can increase.</w:t>
            </w:r>
          </w:p>
        </w:tc>
      </w:tr>
      <w:tr>
        <w:tc>
          <w:tcPr>
            <w:tcW w:type="dxa" w:w="2400"/>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ι  Iota</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XORs in a fixed round constant.</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Breaks symmetry between rounds; degree unchanged.</w:t>
            </w:r>
          </w:p>
        </w:tc>
      </w:tr>
    </w:tbl>
    <w:p>
      <w:pPr>
        <w:spacing w:after="240" w:before="60"/>
        <w:jc w:val="center"/>
      </w:pPr>
      <w:r>
        <w:rPr>
          <w:rFonts w:ascii="Calibri" w:cs="Calibri" w:eastAsia="Calibri" w:hAnsi="Calibri"/>
          <w:i/>
          <w:iCs/>
          <w:color w:val="555555"/>
          <w:sz w:val="19"/>
          <w:szCs w:val="19"/>
        </w:rPr>
        <w:t xml:space="preserve">Table 1. The five sub-steps applied in every round of Keccak-f, in order.</w:t>
      </w:r>
    </w:p>
    <w:p>
      <w:pPr>
        <w:spacing w:after="200" w:line="300"/>
        <w:jc w:val="both"/>
      </w:pPr>
      <w:r>
        <w:rPr>
          <w:rFonts w:ascii="Calibri" w:cs="Calibri" w:eastAsia="Calibri" w:hAnsi="Calibri"/>
          <w:b w:val="false"/>
          <w:bCs w:val="false"/>
          <w:i w:val="false"/>
          <w:iCs w:val="false"/>
          <w:color w:val="1A1A1A"/>
          <w:sz w:val="22"/>
          <w:szCs w:val="22"/>
        </w:rPr>
        <w:t xml:space="preserve">Chi's algebraic formula, applied independently to every row of five bits (indices taken modulo 5), is:</w:t>
      </w:r>
    </w:p>
    <w:p>
      <w:pPr>
        <w:spacing w:after="160" w:before="160"/>
        <w:jc w:val="center"/>
      </w:pPr>
      <w:r>
        <w:rPr>
          <w:rFonts w:ascii="Cambria Math" w:cs="Cambria Math" w:eastAsia="Cambria Math" w:hAnsi="Cambria Math"/>
          <w:color w:val="1A1A1A"/>
          <w:sz w:val="26"/>
          <w:szCs w:val="26"/>
        </w:rPr>
        <w:t xml:space="preserve">yᵢ = xᵢ  ⊕  xᵢ₊₂  ⊕  (xᵢ₊₁ · xᵢ₊₂)</w:t>
      </w:r>
    </w:p>
    <w:p>
      <w:pPr>
        <w:spacing w:after="200" w:line="300"/>
        <w:jc w:val="both"/>
      </w:pPr>
      <w:r>
        <w:rPr>
          <w:rFonts w:ascii="Calibri" w:cs="Calibri" w:eastAsia="Calibri" w:hAnsi="Calibri"/>
          <w:b w:val="false"/>
          <w:bCs w:val="false"/>
          <w:i w:val="false"/>
          <w:iCs w:val="false"/>
          <w:color w:val="1A1A1A"/>
          <w:sz w:val="22"/>
          <w:szCs w:val="22"/>
        </w:rPr>
        <w:t xml:space="preserve">The single product term xᵢ₊₁·xᵢ₊₂ is the only place, in the entire round function, where two variables are ever multiplied together — and multiplication is exactly what raises algebraic degree. Every other operation in the round is addition (XOR) or relabelling, neither of which can increase degree. This single observation is the reason the rest of this project is possible at all: since only one small, well-understood operation can grow degree, that operation is the only thing that needs to be modelled carefully.</w:t>
      </w:r>
    </w:p>
    <w:p>
      <w:pPr>
        <w:pStyle w:val="Heading1"/>
        <w:spacing w:after="160" w:before="360"/>
      </w:pPr>
      <w:r>
        <w:rPr>
          <w:rFonts w:ascii="Cambria" w:cs="Cambria" w:eastAsia="Cambria" w:hAnsi="Cambria"/>
          <w:b/>
          <w:bCs/>
          <w:color w:val="0B5563"/>
          <w:sz w:val="30"/>
          <w:szCs w:val="30"/>
        </w:rPr>
        <w:t xml:space="preserve">3. Problem Statement: Why Direct Computation Fails</w:t>
      </w:r>
    </w:p>
    <w:p>
      <w:pPr>
        <w:spacing w:after="200" w:line="300"/>
        <w:jc w:val="both"/>
      </w:pPr>
      <w:r>
        <w:rPr>
          <w:rFonts w:ascii="Calibri" w:cs="Calibri" w:eastAsia="Calibri" w:hAnsi="Calibri"/>
          <w:b w:val="false"/>
          <w:bCs w:val="false"/>
          <w:i w:val="false"/>
          <w:iCs w:val="false"/>
          <w:color w:val="1A1A1A"/>
          <w:sz w:val="22"/>
          <w:szCs w:val="22"/>
        </w:rPr>
        <w:t xml:space="preserve">The most direct way to find algebraic degree would be to literally expand the round function's output as a polynomial and read off the size of its largest term. I tried this directly, symbolically tracking the full Algebraic Normal Form for one output bit of the smallest possible Keccak-f permutation (b = 25 bits, the smallest valid width).</w:t>
      </w:r>
    </w:p>
    <w:p>
      <w:pPr>
        <w:spacing w:after="200" w:line="300"/>
        <w:jc w:val="both"/>
      </w:pPr>
      <w:r>
        <w:rPr>
          <w:rFonts w:ascii="Calibri" w:cs="Calibri" w:eastAsia="Calibri" w:hAnsi="Calibri"/>
          <w:b w:val="false"/>
          <w:bCs w:val="false"/>
          <w:i w:val="false"/>
          <w:iCs w:val="false"/>
          <w:color w:val="1A1A1A"/>
          <w:sz w:val="22"/>
          <w:szCs w:val="22"/>
        </w:rPr>
        <w:t xml:space="preserve">The result made clear why nobody actually does this beyond a couple of rounds: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rPr>
          <w:tblHeader/>
        </w:trPr>
        <w:tc>
          <w:tcPr>
            <w:tcW w:type="dxa" w:w="1600"/>
            <w:shd w:fill="0B556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Round</w:t>
            </w:r>
          </w:p>
        </w:tc>
        <w:tc>
          <w:tcPr>
            <w:tcW w:type="dxa" w:w="7200"/>
            <w:shd w:fill="0B556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Size of the exact polynomial</w:t>
            </w:r>
          </w:p>
        </w:tc>
      </w:tr>
      <w:tr>
        <w:tc>
          <w:tcPr>
            <w:tcW w:type="dxa" w:w="1600"/>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1</w:t>
            </w:r>
          </w:p>
        </w:tc>
        <w:tc>
          <w:tcPr>
            <w:tcW w:type="dxa" w:w="7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129 monomial terms</w:t>
            </w:r>
          </w:p>
        </w:tc>
      </w:tr>
      <w:tr>
        <w:tc>
          <w:tcPr>
            <w:tcW w:type="dxa" w:w="1600"/>
            <w:shd w:fill="EEF3F3"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2</w:t>
            </w:r>
          </w:p>
        </w:tc>
        <w:tc>
          <w:tcPr>
            <w:tcW w:type="dxa" w:w="720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7,169 monomial terms</w:t>
            </w:r>
          </w:p>
        </w:tc>
      </w:tr>
      <w:tr>
        <w:tc>
          <w:tcPr>
            <w:tcW w:type="dxa" w:w="1600"/>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3</w:t>
            </w:r>
          </w:p>
        </w:tc>
        <w:tc>
          <w:tcPr>
            <w:tcW w:type="dxa" w:w="7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over 400,000 terms, and still growing — the computation was aborted before completion</w:t>
            </w:r>
          </w:p>
        </w:tc>
      </w:tr>
    </w:tbl>
    <w:p>
      <w:pPr>
        <w:spacing w:after="240" w:before="60"/>
        <w:jc w:val="center"/>
      </w:pPr>
      <w:r>
        <w:rPr>
          <w:rFonts w:ascii="Calibri" w:cs="Calibri" w:eastAsia="Calibri" w:hAnsi="Calibri"/>
          <w:i/>
          <w:iCs/>
          <w:color w:val="555555"/>
          <w:sz w:val="19"/>
          <w:szCs w:val="19"/>
        </w:rPr>
        <w:t xml:space="preserve">Table 2. Growth of the exact algebraic normal form for a single output bit, smallest Keccak-f size (b = 25).</w:t>
      </w:r>
    </w:p>
    <w:p>
      <w:pPr>
        <w:spacing w:after="200" w:line="300"/>
        <w:jc w:val="both"/>
      </w:pPr>
      <w:r>
        <w:rPr>
          <w:rFonts w:ascii="Calibri" w:cs="Calibri" w:eastAsia="Calibri" w:hAnsi="Calibri"/>
          <w:b w:val="false"/>
          <w:bCs w:val="false"/>
          <w:i w:val="false"/>
          <w:iCs w:val="false"/>
          <w:color w:val="1A1A1A"/>
          <w:sz w:val="22"/>
          <w:szCs w:val="22"/>
        </w:rPr>
        <w:t xml:space="preserve">This is not a problem that more computing time solves. The number of terms grows roughly fifty-fold per round, so by round five or six the polynomial would require more storage than exists on any real machine, for the smallest possible version of the cipher. This is exactly why the wider cryptographic research community moved away from exact computation and towards trail-based bounding techniques such as division property — not because nobody thought of computing the real answer, but because computing the real answer is provably infeasible past a handful of rounds, regardless of hardware.</w:t>
      </w:r>
    </w:p>
    <w:p>
      <w:pPr>
        <w:pStyle w:val="Heading1"/>
        <w:spacing w:after="160" w:before="360"/>
      </w:pPr>
      <w:r>
        <w:rPr>
          <w:rFonts w:ascii="Cambria" w:cs="Cambria" w:eastAsia="Cambria" w:hAnsi="Cambria"/>
          <w:b/>
          <w:bCs/>
          <w:color w:val="0B5563"/>
          <w:sz w:val="30"/>
          <w:szCs w:val="30"/>
        </w:rPr>
        <w:t xml:space="preserve">4. Methodology</w:t>
      </w:r>
    </w:p>
    <w:p>
      <w:pPr>
        <w:pStyle w:val="Heading2"/>
        <w:spacing w:after="120" w:before="260"/>
      </w:pPr>
      <w:r>
        <w:rPr>
          <w:rFonts w:ascii="Cambria" w:cs="Cambria" w:eastAsia="Cambria" w:hAnsi="Cambria"/>
          <w:b/>
          <w:bCs/>
          <w:color w:val="1A1A1A"/>
          <w:sz w:val="25"/>
          <w:szCs w:val="25"/>
        </w:rPr>
        <w:t xml:space="preserve">4.1 The Pipeline: Division Property → MILP → CP-SAT</w:t>
      </w:r>
    </w:p>
    <w:p>
      <w:pPr>
        <w:spacing w:after="200" w:line="300"/>
        <w:jc w:val="both"/>
      </w:pPr>
      <w:r>
        <w:rPr>
          <w:rFonts w:ascii="Calibri" w:cs="Calibri" w:eastAsia="Calibri" w:hAnsi="Calibri"/>
          <w:b w:val="false"/>
          <w:bCs w:val="false"/>
          <w:i w:val="false"/>
          <w:iCs w:val="false"/>
          <w:color w:val="1A1A1A"/>
          <w:sz w:val="22"/>
          <w:szCs w:val="22"/>
        </w:rPr>
        <w:t xml:space="preserve">Since building the actual polynomial is impossible, the approach used instead asks a cheaper question, over and over: for a given group of input bits, could there exist a valid propagation path (a ‘trail’) through the round function that lets this specific combination of bits survive to the output, without ever materialising the full polynomial? This is the core idea behind bit-based division property, introduced by Todo (2015) and later shown to be expressible directly as an MILP model by Xiang, Zhang, Bao and Lin (ASIACRYPT 2016).</w:t>
      </w:r>
    </w:p>
    <w:p>
      <w:pPr>
        <w:spacing w:after="200" w:line="300"/>
        <w:jc w:val="both"/>
      </w:pPr>
      <w:r>
        <w:rPr>
          <w:rFonts w:ascii="Calibri" w:cs="Calibri" w:eastAsia="Calibri" w:hAnsi="Calibri"/>
          <w:b w:val="false"/>
          <w:bCs w:val="false"/>
          <w:i w:val="false"/>
          <w:iCs w:val="false"/>
          <w:color w:val="1A1A1A"/>
          <w:sz w:val="22"/>
          <w:szCs w:val="22"/>
        </w:rPr>
        <w:t xml:space="preserve">The overall pipeline used in this project has three distinct layers:</w:t>
      </w:r>
    </w:p>
    <w:p>
      <w:pPr>
        <w:pStyle w:val="ListParagraph"/>
        <w:numPr>
          <w:ilvl w:val="0"/>
          <w:numId w:val="1"/>
        </w:numPr>
        <w:spacing w:after="100" w:line="280"/>
      </w:pPr>
      <w:r>
        <w:rPr>
          <w:rFonts w:ascii="Calibri" w:cs="Calibri" w:eastAsia="Calibri" w:hAnsi="Calibri"/>
          <w:color w:val="1A1A1A"/>
          <w:sz w:val="22"/>
          <w:szCs w:val="22"/>
        </w:rPr>
        <w:t xml:space="preserve">Division property (the theory) — defines what it means for a monomial's trail to survive each operation in the round function, without ever building the polynomial itself.</w:t>
      </w:r>
    </w:p>
    <w:p>
      <w:pPr>
        <w:pStyle w:val="ListParagraph"/>
        <w:numPr>
          <w:ilvl w:val="0"/>
          <w:numId w:val="1"/>
        </w:numPr>
        <w:spacing w:after="100" w:line="280"/>
      </w:pPr>
      <w:r>
        <w:rPr>
          <w:rFonts w:ascii="Calibri" w:cs="Calibri" w:eastAsia="Calibri" w:hAnsi="Calibri"/>
          <w:color w:val="1A1A1A"/>
          <w:sz w:val="22"/>
          <w:szCs w:val="22"/>
        </w:rPr>
        <w:t xml:space="preserve">MILP encoding (the translation) — rewrites that trail-survival question as binary variables and purely linear equalities and inequalities, one set of rules per round-function operation.</w:t>
      </w:r>
    </w:p>
    <w:p>
      <w:pPr>
        <w:pStyle w:val="ListParagraph"/>
        <w:numPr>
          <w:ilvl w:val="0"/>
          <w:numId w:val="1"/>
        </w:numPr>
        <w:spacing w:after="100" w:line="280"/>
      </w:pPr>
      <w:r>
        <w:rPr>
          <w:rFonts w:ascii="Calibri" w:cs="Calibri" w:eastAsia="Calibri" w:hAnsi="Calibri"/>
          <w:color w:val="1A1A1A"/>
          <w:sz w:val="22"/>
          <w:szCs w:val="22"/>
        </w:rPr>
        <w:t xml:space="preserve">CP-SAT (the solver) — actually searches the resulting constraint system and returns the largest satisfying assignment, which corresponds to the degree upper bound.</w:t>
      </w:r>
    </w:p>
    <w:p>
      <w:pPr>
        <w:spacing w:after="200" w:line="300"/>
        <w:jc w:val="both"/>
      </w:pPr>
      <w:r>
        <w:rPr>
          <w:rFonts w:ascii="Calibri" w:cs="Calibri" w:eastAsia="Calibri" w:hAnsi="Calibri"/>
          <w:b w:val="false"/>
          <w:bCs w:val="false"/>
          <w:i w:val="false"/>
          <w:iCs w:val="false"/>
          <w:color w:val="1A1A1A"/>
          <w:sz w:val="22"/>
          <w:szCs w:val="22"/>
        </w:rPr>
        <w:t xml:space="preserve">It is worth being precise about what this computes: it is a sound upper bound, not a certified exact value. The existence of a valid trail is a necessary condition for a monomial to appear in the true output polynomial with a non-zero coefficient, but it is not a sufficient one — two different trails could, in principle, reach the same monomial and cancel each other out in the real polynomial. This caveat applies to the division property technique itself, in every paper that uses it, not just to this implementation.</w:t>
      </w:r>
    </w:p>
    <w:p>
      <w:pPr>
        <w:pStyle w:val="Heading2"/>
        <w:spacing w:after="120" w:before="260"/>
      </w:pPr>
      <w:r>
        <w:rPr>
          <w:rFonts w:ascii="Cambria" w:cs="Cambria" w:eastAsia="Cambria" w:hAnsi="Cambria"/>
          <w:b/>
          <w:bCs/>
          <w:color w:val="1A1A1A"/>
          <w:sz w:val="25"/>
          <w:szCs w:val="25"/>
        </w:rPr>
        <w:t xml:space="preserve">4.2 MILP or SAT: Which Was Actually Used</w:t>
      </w:r>
    </w:p>
    <w:p>
      <w:pPr>
        <w:spacing w:after="200" w:line="300"/>
        <w:jc w:val="both"/>
      </w:pPr>
      <w:r>
        <w:rPr>
          <w:rFonts w:ascii="Calibri" w:cs="Calibri" w:eastAsia="Calibri" w:hAnsi="Calibri"/>
          <w:b w:val="false"/>
          <w:bCs w:val="false"/>
          <w:i w:val="false"/>
          <w:iCs w:val="false"/>
          <w:color w:val="1A1A1A"/>
          <w:sz w:val="22"/>
          <w:szCs w:val="22"/>
        </w:rPr>
        <w:t xml:space="preserve">This is a question that came up directly from my mentor, and it is worth answering precisely rather than loosely, because the model and the solver are two separate things.</w:t>
      </w:r>
    </w:p>
    <w:p>
      <w:pPr>
        <w:spacing w:after="200" w:line="300"/>
        <w:jc w:val="both"/>
      </w:pPr>
      <w:r>
        <w:rPr>
          <w:rFonts w:ascii="Calibri" w:cs="Calibri" w:eastAsia="Calibri" w:hAnsi="Calibri"/>
          <w:b w:val="false"/>
          <w:bCs w:val="false"/>
          <w:i w:val="false"/>
          <w:iCs w:val="false"/>
          <w:color w:val="1A1A1A"/>
          <w:sz w:val="22"/>
          <w:szCs w:val="22"/>
        </w:rPr>
        <w:t xml:space="preserve">The model — the actual variables and rules written for this project — is MILP-style throughout: every variable is binary, and every constraint is a linear equality or inequality (implemented using OR-Tools' addEquality and addLessOrEqual calls). No constraint anywhere multiplies two variables together directly.</w:t>
      </w:r>
    </w:p>
    <w:p>
      <w:pPr>
        <w:spacing w:after="200" w:line="300"/>
        <w:jc w:val="both"/>
      </w:pPr>
      <w:r>
        <w:rPr>
          <w:rFonts w:ascii="Calibri" w:cs="Calibri" w:eastAsia="Calibri" w:hAnsi="Calibri"/>
          <w:b w:val="false"/>
          <w:bCs w:val="false"/>
          <w:i w:val="false"/>
          <w:iCs w:val="false"/>
          <w:color w:val="1A1A1A"/>
          <w:sz w:val="22"/>
          <w:szCs w:val="22"/>
        </w:rPr>
        <w:t xml:space="preserve">The solver used to actually search that model is called CP-SAT, part of Google's open-source OR-Tools library. Internally, CP-SAT is a hybrid engine: it combines Boolean satisfiability (SAT) search techniques with linear-programming-style relaxations used for pruning the search space. It is not a classical simplex-based MILP solver such as Gurobi or CPLEX, but it accepts the same style of model — binary variables, linear constraints, a linear objective — and was chosen because it is free, open-source, and well suited to problems that are almost entirely Boolean in structure, which this one is.</w:t>
      </w:r>
    </w:p>
    <w:p>
      <w:pPr>
        <w:spacing w:after="200" w:line="300"/>
        <w:jc w:val="both"/>
      </w:pPr>
      <w:r>
        <w:rPr>
          <w:rFonts w:ascii="Calibri" w:cs="Calibri" w:eastAsia="Calibri" w:hAnsi="Calibri"/>
          <w:b w:val="false"/>
          <w:bCs w:val="false"/>
          <w:i w:val="false"/>
          <w:iCs w:val="false"/>
          <w:color w:val="1A1A1A"/>
          <w:sz w:val="22"/>
          <w:szCs w:val="22"/>
        </w:rPr>
        <w:t xml:space="preserve">The precise summary: the formulation is MILP; the solving engine is CP-SAT.</w:t>
      </w:r>
    </w:p>
    <w:p>
      <w:pPr>
        <w:pStyle w:val="Heading2"/>
        <w:spacing w:after="120" w:before="260"/>
      </w:pPr>
      <w:r>
        <w:rPr>
          <w:rFonts w:ascii="Cambria" w:cs="Cambria" w:eastAsia="Cambria" w:hAnsi="Cambria"/>
          <w:b/>
          <w:bCs/>
          <w:color w:val="1A1A1A"/>
          <w:sz w:val="25"/>
          <w:szCs w:val="25"/>
        </w:rPr>
        <w:t xml:space="preserve">4.3 Modelling the Round Function</w:t>
      </w:r>
    </w:p>
    <w:p>
      <w:pPr>
        <w:spacing w:after="200" w:line="300"/>
        <w:jc w:val="both"/>
      </w:pPr>
      <w:r>
        <w:rPr>
          <w:rFonts w:ascii="Calibri" w:cs="Calibri" w:eastAsia="Calibri" w:hAnsi="Calibri"/>
          <w:b w:val="false"/>
          <w:bCs w:val="false"/>
          <w:i w:val="false"/>
          <w:iCs w:val="false"/>
          <w:color w:val="1A1A1A"/>
          <w:sz w:val="22"/>
          <w:szCs w:val="22"/>
        </w:rPr>
        <w:t xml:space="preserve">Each of the five round-function steps needed a different amount of modelling effort, in direct proportion to how much they actually do to the algebraic structure.</w:t>
      </w:r>
    </w:p>
    <w:p>
      <w:pPr>
        <w:pStyle w:val="ListParagraph"/>
        <w:numPr>
          <w:ilvl w:val="0"/>
          <w:numId w:val="1"/>
        </w:numPr>
        <w:spacing w:after="100" w:line="280"/>
      </w:pPr>
      <w:r>
        <w:rPr>
          <w:rFonts w:ascii="Calibri" w:cs="Calibri" w:eastAsia="Calibri" w:hAnsi="Calibri"/>
          <w:color w:val="1A1A1A"/>
          <w:sz w:val="22"/>
          <w:szCs w:val="22"/>
        </w:rPr>
        <w:t xml:space="preserve">Theta — modelled with two standard division-property rules for any linear layer: a COPY rule (if one bit fans out to several uses, only one branch may carry it forward, since a variable multiplied by itself is idempotent and re-using it would double-count) and an XOR-merge rule (an output bit is active only if exactly one of its incoming sources was active).</w:t>
      </w:r>
    </w:p>
    <w:p>
      <w:pPr>
        <w:pStyle w:val="ListParagraph"/>
        <w:numPr>
          <w:ilvl w:val="0"/>
          <w:numId w:val="1"/>
        </w:numPr>
        <w:spacing w:after="100" w:line="280"/>
      </w:pPr>
      <w:r>
        <w:rPr>
          <w:rFonts w:ascii="Calibri" w:cs="Calibri" w:eastAsia="Calibri" w:hAnsi="Calibri"/>
          <w:color w:val="1A1A1A"/>
          <w:sz w:val="22"/>
          <w:szCs w:val="22"/>
        </w:rPr>
        <w:t xml:space="preserve">Rho and Pi — required no new variables or constraints at all. Both are bijective relabellings of bit positions; a bit's index changes, nothing about whether it is active changes.</w:t>
      </w:r>
    </w:p>
    <w:p>
      <w:pPr>
        <w:pStyle w:val="ListParagraph"/>
        <w:numPr>
          <w:ilvl w:val="0"/>
          <w:numId w:val="1"/>
        </w:numPr>
        <w:spacing w:after="100" w:line="280"/>
      </w:pPr>
      <w:r>
        <w:rPr>
          <w:rFonts w:ascii="Calibri" w:cs="Calibri" w:eastAsia="Calibri" w:hAnsi="Calibri"/>
          <w:color w:val="1A1A1A"/>
          <w:sz w:val="22"/>
          <w:szCs w:val="22"/>
        </w:rPr>
        <w:t xml:space="preserve">Chi — the only step that needed real modelling. Its ANF has three possible terms per output bit; the middle term was shown to always be dominated by the third (its requirement is a strict subset of the third term's requirement, so choosing the third term can never do worse), so only two selector variables were needed per output bit: one for the simple single-bit explanation, one for the two-bit multiplied explanation.</w:t>
      </w:r>
    </w:p>
    <w:p>
      <w:pPr>
        <w:pStyle w:val="ListParagraph"/>
        <w:numPr>
          <w:ilvl w:val="0"/>
          <w:numId w:val="1"/>
        </w:numPr>
        <w:spacing w:after="100" w:line="280"/>
      </w:pPr>
      <w:r>
        <w:rPr>
          <w:rFonts w:ascii="Calibri" w:cs="Calibri" w:eastAsia="Calibri" w:hAnsi="Calibri"/>
          <w:color w:val="1A1A1A"/>
          <w:sz w:val="22"/>
          <w:szCs w:val="22"/>
        </w:rPr>
        <w:t xml:space="preserve">Iota — not modelled at all. XORing in a fixed constant changes no variable's identity and contributes no degrees of freedom to a monomial trail.</w:t>
      </w:r>
    </w:p>
    <w:p>
      <w:pPr>
        <w:pStyle w:val="Heading2"/>
        <w:spacing w:after="120" w:before="260"/>
      </w:pPr>
      <w:r>
        <w:rPr>
          <w:rFonts w:ascii="Cambria" w:cs="Cambria" w:eastAsia="Cambria" w:hAnsi="Cambria"/>
          <w:b/>
          <w:bCs/>
          <w:color w:val="1A1A1A"/>
          <w:sz w:val="25"/>
          <w:szCs w:val="25"/>
        </w:rPr>
        <w:t xml:space="preserve">4.4 Encoding Chi Without Ever Writing a Multiplication</w:t>
      </w:r>
    </w:p>
    <w:p>
      <w:pPr>
        <w:spacing w:after="200" w:line="300"/>
        <w:jc w:val="both"/>
      </w:pPr>
      <w:r>
        <w:rPr>
          <w:rFonts w:ascii="Calibri" w:cs="Calibri" w:eastAsia="Calibri" w:hAnsi="Calibri"/>
          <w:b w:val="false"/>
          <w:bCs w:val="false"/>
          <w:i w:val="false"/>
          <w:iCs w:val="false"/>
          <w:color w:val="1A1A1A"/>
          <w:sz w:val="22"/>
          <w:szCs w:val="22"/>
        </w:rPr>
        <w:t xml:space="preserve">Chi's nonlinear term, xᵢ₊₁·xᵢ₊₂, cannot be written directly inside an MILP constraint, since MILP forbids multiplying two variables together. The standard workaround, used here, is to introduce a separate 0/1 selector variable that behaves like the AND of the two inputs, using only linear rules:</w:t>
      </w:r>
    </w:p>
    <w:p>
      <w:pPr>
        <w:pStyle w:val="ListParagraph"/>
        <w:numPr>
          <w:ilvl w:val="0"/>
          <w:numId w:val="1"/>
        </w:numPr>
        <w:spacing w:after="100" w:line="280"/>
      </w:pPr>
      <w:r>
        <w:rPr>
          <w:rFonts w:ascii="Calibri" w:cs="Calibri" w:eastAsia="Calibri" w:hAnsi="Calibri"/>
          <w:color w:val="1A1A1A"/>
          <w:sz w:val="22"/>
          <w:szCs w:val="22"/>
        </w:rPr>
        <w:t xml:space="preserve">selC ≤ z[xᵢ₊₁]</w:t>
      </w:r>
    </w:p>
    <w:p>
      <w:pPr>
        <w:pStyle w:val="ListParagraph"/>
        <w:numPr>
          <w:ilvl w:val="0"/>
          <w:numId w:val="1"/>
        </w:numPr>
        <w:spacing w:after="100" w:line="280"/>
      </w:pPr>
      <w:r>
        <w:rPr>
          <w:rFonts w:ascii="Calibri" w:cs="Calibri" w:eastAsia="Calibri" w:hAnsi="Calibri"/>
          <w:color w:val="1A1A1A"/>
          <w:sz w:val="22"/>
          <w:szCs w:val="22"/>
        </w:rPr>
        <w:t xml:space="preserve">selC ≤ z[xᵢ₊₂]</w:t>
      </w:r>
    </w:p>
    <w:p>
      <w:pPr>
        <w:spacing w:after="200" w:line="300"/>
        <w:jc w:val="both"/>
      </w:pPr>
      <w:r>
        <w:rPr>
          <w:rFonts w:ascii="Calibri" w:cs="Calibri" w:eastAsia="Calibri" w:hAnsi="Calibri"/>
          <w:b w:val="false"/>
          <w:bCs w:val="false"/>
          <w:i w:val="false"/>
          <w:iCs w:val="false"/>
          <w:color w:val="1A1A1A"/>
          <w:sz w:val="22"/>
          <w:szCs w:val="22"/>
        </w:rPr>
        <w:t xml:space="preserve">Together, these two inequalities force selC to 1 only when both z[xᵢ₊₁] and z[xᵢ₊₂] are 1 — exactly reproducing the truth table of an AND gate without a single multiplication appearing anywhere. This is a standard linearisation technique for Boolean AND, not something specific to this project, but it is the one piece of the whole model that required this kind of care, since it is the only place the round function is genuinely nonlinear.</w:t>
      </w:r>
    </w:p>
    <w:p>
      <w:pPr>
        <w:pStyle w:val="Heading2"/>
        <w:spacing w:after="120" w:before="260"/>
      </w:pPr>
      <w:r>
        <w:rPr>
          <w:rFonts w:ascii="Cambria" w:cs="Cambria" w:eastAsia="Cambria" w:hAnsi="Cambria"/>
          <w:b/>
          <w:bCs/>
          <w:color w:val="1A1A1A"/>
          <w:sz w:val="25"/>
          <w:szCs w:val="25"/>
        </w:rPr>
        <w:t xml:space="preserve">4.5 Variables, Constraints and Objective, in Full</w:t>
      </w:r>
    </w:p>
    <w:p>
      <w:pPr>
        <w:spacing w:after="200" w:line="300"/>
        <w:jc w:val="both"/>
      </w:pPr>
      <w:r>
        <w:rPr>
          <w:rFonts w:ascii="Calibri" w:cs="Calibri" w:eastAsia="Calibri" w:hAnsi="Calibri"/>
          <w:b w:val="false"/>
          <w:bCs w:val="false"/>
          <w:i w:val="false"/>
          <w:iCs w:val="false"/>
          <w:color w:val="1A1A1A"/>
          <w:sz w:val="22"/>
          <w:szCs w:val="22"/>
        </w:rPr>
        <w:t xml:space="preserve">The complete model, once built for a given number of rounds, consists of the following pieces: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tblHeader/>
        </w:trPr>
        <w:tc>
          <w:tcPr>
            <w:tcW w:type="dxa" w:w="2400"/>
            <w:shd w:fill="0B556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Component</w:t>
            </w:r>
          </w:p>
        </w:tc>
        <w:tc>
          <w:tcPr>
            <w:tcW w:type="dxa" w:w="7400"/>
            <w:shd w:fill="0B556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What it enforces</w:t>
            </w:r>
          </w:p>
        </w:tc>
      </w:tr>
      <w:tr>
        <w:tc>
          <w:tcPr>
            <w:tcW w:type="dxa" w:w="2400"/>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Variables</w:t>
            </w:r>
          </w:p>
        </w:tc>
        <w:tc>
          <w:tcPr>
            <w:tcW w:type="dxa" w:w="7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One binary variable per (round, bit), meaning: could this bit be part of a surviving monomial trail after this round?</w:t>
            </w:r>
          </w:p>
        </w:tc>
      </w:tr>
      <w:tr>
        <w:tc>
          <w:tcPr>
            <w:tcW w:type="dxa" w:w="2400"/>
            <w:shd w:fill="EEF3F3"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Theta — COPY rule</w:t>
            </w:r>
          </w:p>
        </w:tc>
        <w:tc>
          <w:tcPr>
            <w:tcW w:type="dxa" w:w="740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 source bit's total usage across all of its possible destinations must equal itself (at most one destination may claim it).</w:t>
            </w:r>
          </w:p>
        </w:tc>
      </w:tr>
      <w:tr>
        <w:tc>
          <w:tcPr>
            <w:tcW w:type="dxa" w:w="2400"/>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Theta — XOR-merge rule</w:t>
            </w:r>
          </w:p>
        </w:tc>
        <w:tc>
          <w:tcPr>
            <w:tcW w:type="dxa" w:w="7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An output bit is active if and only if exactly one of its (up to 11) source bits fired.</w:t>
            </w:r>
          </w:p>
        </w:tc>
      </w:tr>
      <w:tr>
        <w:tc>
          <w:tcPr>
            <w:tcW w:type="dxa" w:w="2400"/>
            <w:shd w:fill="EEF3F3"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Chi — term selection</w:t>
            </w:r>
          </w:p>
        </w:tc>
        <w:tc>
          <w:tcPr>
            <w:tcW w:type="dxa" w:w="740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Exactly one of the two selector variables (single-bit or two-bit) may be chosen per active output bit, each gated by the availability of its required input bit(s).</w:t>
            </w:r>
          </w:p>
        </w:tc>
      </w:tr>
      <w:tr>
        <w:tc>
          <w:tcPr>
            <w:tcW w:type="dxa" w:w="2400"/>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Chi — demand rule</w:t>
            </w:r>
          </w:p>
        </w:tc>
        <w:tc>
          <w:tcPr>
            <w:tcW w:type="dxa" w:w="7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 bit produced by theta may only be marked active if something downstream in chi actually consumes it — otherwise the model could report unjustified activity that never reaches the target.</w:t>
            </w:r>
          </w:p>
        </w:tc>
      </w:tr>
      <w:tr>
        <w:tc>
          <w:tcPr>
            <w:tcW w:type="dxa" w:w="2400"/>
            <w:shd w:fill="EEF3F3"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Terminal condition</w:t>
            </w:r>
          </w:p>
        </w:tc>
        <w:tc>
          <w:tcPr>
            <w:tcW w:type="dxa" w:w="740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At the final round, exactly one chosen output bit is fixed to 1 and every other bit is fixed to 0, isolating the specific output being analysed.</w:t>
            </w:r>
          </w:p>
        </w:tc>
      </w:tr>
      <w:tr>
        <w:tc>
          <w:tcPr>
            <w:tcW w:type="dxa" w:w="2400"/>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Objective</w:t>
            </w:r>
          </w:p>
        </w:tc>
        <w:tc>
          <w:tcPr>
            <w:tcW w:type="dxa" w:w="7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Maximize the count of active bits at round 0 — the largest input group that can legally survive to the fixed target bit.</w:t>
            </w:r>
          </w:p>
        </w:tc>
      </w:tr>
    </w:tbl>
    <w:p>
      <w:pPr>
        <w:spacing w:after="240" w:before="60"/>
        <w:jc w:val="center"/>
      </w:pPr>
      <w:r>
        <w:rPr>
          <w:rFonts w:ascii="Calibri" w:cs="Calibri" w:eastAsia="Calibri" w:hAnsi="Calibri"/>
          <w:i/>
          <w:iCs/>
          <w:color w:val="555555"/>
          <w:sz w:val="19"/>
          <w:szCs w:val="19"/>
        </w:rPr>
        <w:t xml:space="preserve">Table 3. The complete set of variables and rules given to the CP-SAT solver.</w:t>
      </w:r>
    </w:p>
    <w:p>
      <w:pPr>
        <w:pStyle w:val="Heading1"/>
        <w:spacing w:after="160" w:before="360"/>
      </w:pPr>
      <w:r>
        <w:rPr>
          <w:rFonts w:ascii="Cambria" w:cs="Cambria" w:eastAsia="Cambria" w:hAnsi="Cambria"/>
          <w:b/>
          <w:bCs/>
          <w:color w:val="0B5563"/>
          <w:sz w:val="30"/>
          <w:szCs w:val="30"/>
        </w:rPr>
        <w:t xml:space="preserve">5. The Boura–Canteaut–De Cannière Bound</w:t>
      </w:r>
    </w:p>
    <w:p>
      <w:pPr>
        <w:pStyle w:val="Heading2"/>
        <w:spacing w:after="120" w:before="260"/>
      </w:pPr>
      <w:r>
        <w:rPr>
          <w:rFonts w:ascii="Cambria" w:cs="Cambria" w:eastAsia="Cambria" w:hAnsi="Cambria"/>
          <w:b/>
          <w:bCs/>
          <w:color w:val="1A1A1A"/>
          <w:sz w:val="25"/>
          <w:szCs w:val="25"/>
        </w:rPr>
        <w:t xml:space="preserve">5.1 The Formula</w:t>
      </w:r>
    </w:p>
    <w:p>
      <w:pPr>
        <w:spacing w:after="200" w:line="300"/>
        <w:jc w:val="both"/>
      </w:pPr>
      <w:r>
        <w:rPr>
          <w:rFonts w:ascii="Calibri" w:cs="Calibri" w:eastAsia="Calibri" w:hAnsi="Calibri"/>
          <w:b w:val="false"/>
          <w:bCs w:val="false"/>
          <w:i w:val="false"/>
          <w:iCs w:val="false"/>
          <w:color w:val="1A1A1A"/>
          <w:sz w:val="22"/>
          <w:szCs w:val="22"/>
        </w:rPr>
        <w:t xml:space="preserve">Before building the MILP model, an existing closed-form bound was already available in the literature, published by Boura, Canteaut and De Cannière: “Higher-Order Differential Properties of Keccak and Luffa”, FSE 2011, Lecture Notes in Computer Science volume 6733, pages 252–269. The central result of that paper, restated here (and cross-checked against the author's own PhD thesis, which restates the same theorem), is:</w:t>
      </w:r>
    </w:p>
    <w:p>
      <w:pPr>
        <w:spacing w:after="160" w:before="160"/>
        <w:jc w:val="center"/>
      </w:pPr>
      <w:r>
        <w:rPr>
          <w:rFonts w:ascii="Cambria Math" w:cs="Cambria Math" w:eastAsia="Cambria Math" w:hAnsi="Cambria Math"/>
          <w:color w:val="1A1A1A"/>
          <w:sz w:val="26"/>
          <w:szCs w:val="26"/>
        </w:rPr>
        <w:t xml:space="preserve">deg(G ∘ F)  ≤  n  −  (n − deg(G)) / γ</w:t>
      </w:r>
    </w:p>
    <w:p>
      <w:pPr>
        <w:spacing w:after="200" w:line="300"/>
        <w:jc w:val="both"/>
      </w:pPr>
      <w:r>
        <w:rPr>
          <w:rFonts w:ascii="Calibri" w:cs="Calibri" w:eastAsia="Calibri" w:hAnsi="Calibri"/>
          <w:b w:val="false"/>
          <w:bCs w:val="false"/>
          <w:i w:val="false"/>
          <w:iCs w:val="false"/>
          <w:color w:val="1A1A1A"/>
          <w:sz w:val="22"/>
          <w:szCs w:val="22"/>
        </w:rPr>
        <w:t xml:space="preserve">Here, F is one round of the permutation (built from parallel copies of a small S-box, in this case chi), G is everything computed in all previous rounds, n is the total state width, and γ is a constant derived entirely from the S-box's own algebraic structure:</w:t>
      </w:r>
    </w:p>
    <w:p>
      <w:pPr>
        <w:spacing w:after="160" w:before="160"/>
        <w:jc w:val="center"/>
      </w:pPr>
      <w:r>
        <w:rPr>
          <w:rFonts w:ascii="Cambria Math" w:cs="Cambria Math" w:eastAsia="Cambria Math" w:hAnsi="Cambria Math"/>
          <w:color w:val="1A1A1A"/>
          <w:sz w:val="26"/>
          <w:szCs w:val="26"/>
        </w:rPr>
        <w:t xml:space="preserve">γ = max over i = 1..n₀−1 of  (n₀ − i) / (n₀ − δᵢ)</w:t>
      </w:r>
    </w:p>
    <w:p>
      <w:pPr>
        <w:spacing w:after="200" w:line="300"/>
        <w:jc w:val="both"/>
      </w:pPr>
      <w:r>
        <w:rPr>
          <w:rFonts w:ascii="Calibri" w:cs="Calibri" w:eastAsia="Calibri" w:hAnsi="Calibri"/>
          <w:b w:val="false"/>
          <w:bCs w:val="false"/>
          <w:i w:val="false"/>
          <w:iCs w:val="false"/>
          <w:color w:val="1A1A1A"/>
          <w:sz w:val="22"/>
          <w:szCs w:val="22"/>
        </w:rPr>
        <w:t xml:space="preserve">where n₀ is the S-box's input size and δᵢ is the largest algebraic degree of any product of i of the S-box's output coordinates.</w:t>
      </w:r>
    </w:p>
    <w:p>
      <w:pPr>
        <w:pStyle w:val="Heading2"/>
        <w:spacing w:after="120" w:before="260"/>
      </w:pPr>
      <w:r>
        <w:rPr>
          <w:rFonts w:ascii="Cambria" w:cs="Cambria" w:eastAsia="Cambria" w:hAnsi="Cambria"/>
          <w:b/>
          <w:bCs/>
          <w:color w:val="1A1A1A"/>
          <w:sz w:val="25"/>
          <w:szCs w:val="25"/>
        </w:rPr>
        <w:t xml:space="preserve">5.2 Deriving γ = 3 for Keccak's Chi</w:t>
      </w:r>
    </w:p>
    <w:p>
      <w:pPr>
        <w:spacing w:after="200" w:line="300"/>
        <w:jc w:val="both"/>
      </w:pPr>
      <w:r>
        <w:rPr>
          <w:rFonts w:ascii="Calibri" w:cs="Calibri" w:eastAsia="Calibri" w:hAnsi="Calibri"/>
          <w:b w:val="false"/>
          <w:bCs w:val="false"/>
          <w:i w:val="false"/>
          <w:iCs w:val="false"/>
          <w:color w:val="1A1A1A"/>
          <w:sz w:val="22"/>
          <w:szCs w:val="22"/>
        </w:rPr>
        <w:t xml:space="preserve">Rather than looking up a value of γ for Keccak from a secondary source, it was computed directly from chi's own definition. Chi is a 5-bit S-box (n₀ = 5), so its truth table has only 32 entries — small enough to brute-force exhaustively. For every possible subset of chi's five output coordinates, the algebraic degree of the product of that subset was computed directly from its Algebraic Normal Form:</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600"/>
        <w:gridCol w:w="4200"/>
      </w:tblGrid>
      <w:tr>
        <w:trPr>
          <w:tblHeader/>
        </w:trPr>
        <w:tc>
          <w:tcPr>
            <w:tcW w:type="dxa" w:w="4600"/>
            <w:shd w:fill="0B556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Quantity</w:t>
            </w:r>
          </w:p>
        </w:tc>
        <w:tc>
          <w:tcPr>
            <w:tcW w:type="dxa" w:w="4200"/>
            <w:shd w:fill="0B556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Computed value</w:t>
            </w:r>
          </w:p>
        </w:tc>
      </w:tr>
      <w:tr>
        <w:tc>
          <w:tcPr>
            <w:tcW w:type="dxa" w:w="4600"/>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δ₁ (single coordinate)</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2</w:t>
            </w:r>
          </w:p>
        </w:tc>
      </w:tr>
      <w:tr>
        <w:tc>
          <w:tcPr>
            <w:tcW w:type="dxa" w:w="4600"/>
            <w:shd w:fill="EEF3F3"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δ₂ (product of 2 coordinates)</w:t>
            </w:r>
          </w:p>
        </w:tc>
        <w:tc>
          <w:tcPr>
            <w:tcW w:type="dxa" w:w="420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4</w:t>
            </w:r>
          </w:p>
        </w:tc>
      </w:tr>
      <w:tr>
        <w:tc>
          <w:tcPr>
            <w:tcW w:type="dxa" w:w="4600"/>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δ₃ (product of 3 coordinates)</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4</w:t>
            </w:r>
          </w:p>
        </w:tc>
      </w:tr>
      <w:tr>
        <w:tc>
          <w:tcPr>
            <w:tcW w:type="dxa" w:w="4600"/>
            <w:shd w:fill="EEF3F3"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δ₄ (product of 4 coordinates)</w:t>
            </w:r>
          </w:p>
        </w:tc>
        <w:tc>
          <w:tcPr>
            <w:tcW w:type="dxa" w:w="420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4</w:t>
            </w:r>
          </w:p>
        </w:tc>
      </w:tr>
    </w:tbl>
    <w:p>
      <w:pPr>
        <w:spacing w:after="240" w:before="60"/>
        <w:jc w:val="center"/>
      </w:pPr>
      <w:r>
        <w:rPr>
          <w:rFonts w:ascii="Calibri" w:cs="Calibri" w:eastAsia="Calibri" w:hAnsi="Calibri"/>
          <w:i/>
          <w:iCs/>
          <w:color w:val="555555"/>
          <w:sz w:val="19"/>
          <w:szCs w:val="19"/>
        </w:rPr>
        <w:t xml:space="preserve">Table 4. Brute-force computed δᵢ values for Keccak's chi S-box.</w:t>
      </w:r>
    </w:p>
    <w:p>
      <w:pPr>
        <w:spacing w:after="200" w:line="300"/>
        <w:jc w:val="both"/>
      </w:pPr>
      <w:r>
        <w:rPr>
          <w:rFonts w:ascii="Calibri" w:cs="Calibri" w:eastAsia="Calibri" w:hAnsi="Calibri"/>
          <w:b w:val="false"/>
          <w:bCs w:val="false"/>
          <w:i w:val="false"/>
          <w:iCs w:val="false"/>
          <w:color w:val="1A1A1A"/>
          <w:sz w:val="22"/>
          <w:szCs w:val="22"/>
        </w:rPr>
        <w:t xml:space="preserve">Substituting these into the γ formula and evaluating all four ratios (n₀−i)/(n₀−δᵢ), the largest value occurs at i = 2: (5−2)/(5−4) = 3/1 = 3. This gives γ = 3 for Keccak's chi, a value derived from first principles rather than taken from a secondary source.</w:t>
      </w:r>
    </w:p>
    <w:p>
      <w:pPr>
        <w:pStyle w:val="Heading2"/>
        <w:spacing w:after="120" w:before="260"/>
      </w:pPr>
      <w:r>
        <w:rPr>
          <w:rFonts w:ascii="Cambria" w:cs="Cambria" w:eastAsia="Cambria" w:hAnsi="Cambria"/>
          <w:b/>
          <w:bCs/>
          <w:color w:val="1A1A1A"/>
          <w:sz w:val="25"/>
          <w:szCs w:val="25"/>
        </w:rPr>
        <w:t xml:space="preserve">5.3 Why an Independent Verification Was Still Necessary</w:t>
      </w:r>
    </w:p>
    <w:p>
      <w:pPr>
        <w:spacing w:after="200" w:line="300"/>
        <w:jc w:val="both"/>
      </w:pPr>
      <w:r>
        <w:rPr>
          <w:rFonts w:ascii="Calibri" w:cs="Calibri" w:eastAsia="Calibri" w:hAnsi="Calibri"/>
          <w:b w:val="false"/>
          <w:bCs w:val="false"/>
          <w:i w:val="false"/>
          <w:iCs w:val="false"/>
          <w:color w:val="1A1A1A"/>
          <w:sz w:val="22"/>
          <w:szCs w:val="22"/>
        </w:rPr>
        <w:t xml:space="preserve">A reasonable question, and one I was asked directly during this internship, is: if a correct, published formula already exists, why build an entire MILP solver instead of simply evaluating that formula? The answer has two parts.</w:t>
      </w:r>
    </w:p>
    <w:p>
      <w:pPr>
        <w:spacing w:after="200" w:line="300"/>
        <w:jc w:val="both"/>
      </w:pPr>
      <w:r>
        <w:rPr>
          <w:rFonts w:ascii="Calibri" w:cs="Calibri" w:eastAsia="Calibri" w:hAnsi="Calibri"/>
          <w:b w:val="false"/>
          <w:bCs w:val="false"/>
          <w:i w:val="false"/>
          <w:iCs w:val="false"/>
          <w:color w:val="1A1A1A"/>
          <w:sz w:val="22"/>
          <w:szCs w:val="22"/>
        </w:rPr>
        <w:t xml:space="preserve">First, the formula's validity as an upper bound was never in question — it is a proven mathematical result. What was not known in advance is whether it is tight, meaning exactly equal to the true degree, for Keccak specifically. A published paper on this exact question (Chen, Xiang, Zeng and Zhang, “On the Relationships Between Different Methods for Degree Evaluation”, IACR Transactions on Symmetric Cryptology, 2021, issue 1, pages 411–442) proves that division property — the technique implemented in this project — is theoretically never worse than the Boura-Canteaut-De Cannière formula, and demonstrates experimentally that it is strictly tighter for some other ciphers. In other words, it was already known in the literature that this formula is not universally tight.</w:t>
      </w:r>
    </w:p>
    <w:p>
      <w:pPr>
        <w:spacing w:after="200" w:line="300"/>
        <w:jc w:val="both"/>
      </w:pPr>
      <w:r>
        <w:rPr>
          <w:rFonts w:ascii="Calibri" w:cs="Calibri" w:eastAsia="Calibri" w:hAnsi="Calibri"/>
          <w:b w:val="false"/>
          <w:bCs w:val="false"/>
          <w:i w:val="false"/>
          <w:iCs w:val="false"/>
          <w:color w:val="1A1A1A"/>
          <w:sz w:val="22"/>
          <w:szCs w:val="22"/>
        </w:rPr>
        <w:t xml:space="preserve">Second, and more directly: a formula cannot verify itself. The only way to actually find out whether the formula happens to be exact for Keccak, rather than merely a valid but loose ceiling, is to build a completely independent method and compare. That comparison is precisely the goal of this project — not to replace the formula, but to test it against a structurally unrelated computation and see whether the two agree.</w:t>
      </w:r>
    </w:p>
    <w:p>
      <w:pPr>
        <w:pStyle w:val="Heading1"/>
        <w:spacing w:after="160" w:before="360"/>
      </w:pPr>
      <w:r>
        <w:rPr>
          <w:rFonts w:ascii="Cambria" w:cs="Cambria" w:eastAsia="Cambria" w:hAnsi="Cambria"/>
          <w:b/>
          <w:bCs/>
          <w:color w:val="0B5563"/>
          <w:sz w:val="30"/>
          <w:szCs w:val="30"/>
        </w:rPr>
        <w:t xml:space="preserve">6. Implementation Overview</w:t>
      </w:r>
    </w:p>
    <w:p>
      <w:pPr>
        <w:spacing w:after="200" w:line="300"/>
        <w:jc w:val="both"/>
      </w:pPr>
      <w:r>
        <w:rPr>
          <w:rFonts w:ascii="Calibri" w:cs="Calibri" w:eastAsia="Calibri" w:hAnsi="Calibri"/>
          <w:b w:val="false"/>
          <w:bCs w:val="false"/>
          <w:i w:val="false"/>
          <w:iCs w:val="false"/>
          <w:color w:val="1A1A1A"/>
          <w:sz w:val="22"/>
          <w:szCs w:val="22"/>
        </w:rPr>
        <w:t xml:space="preserve">The solver itself was written in Java, using Google's OR-Tools CP-SAT bindings. Getting the library running at all required building the protobuf-java runtime from source, since no pre-built binary compatible with the OR-Tools version in use was available through the package managers accessible in the development environment — the protoc compiler and the protobuf source tarball were used to generate and compile the runtime directly.</w:t>
      </w:r>
    </w:p>
    <w:p>
      <w:pPr>
        <w:spacing w:after="200" w:line="300"/>
        <w:jc w:val="both"/>
      </w:pPr>
      <w:r>
        <w:rPr>
          <w:rFonts w:ascii="Calibri" w:cs="Calibri" w:eastAsia="Calibri" w:hAnsi="Calibri"/>
          <w:b w:val="false"/>
          <w:bCs w:val="false"/>
          <w:i w:val="false"/>
          <w:iCs w:val="false"/>
          <w:color w:val="1A1A1A"/>
          <w:sz w:val="22"/>
          <w:szCs w:val="22"/>
        </w:rPr>
        <w:t xml:space="preserve">On top of the solver, a small full-stack application was built to make the tool usable interactively: a Node.js/Express backend that spawns the Java solver as a subprocess and exposes its output over a JSON API, and a browser-based frontend that lets a user choose a state width and round count, trigger a solve, and see the resulting degree table update live, alongside the independent verification panels described in Section 8.</w:t>
      </w:r>
    </w:p>
    <w:p>
      <w:pPr>
        <w:pStyle w:val="Heading1"/>
        <w:spacing w:after="160" w:before="360"/>
      </w:pPr>
      <w:r>
        <w:rPr>
          <w:rFonts w:ascii="Cambria" w:cs="Cambria" w:eastAsia="Cambria" w:hAnsi="Cambria"/>
          <w:b/>
          <w:bCs/>
          <w:color w:val="0B5563"/>
          <w:sz w:val="30"/>
          <w:szCs w:val="30"/>
        </w:rPr>
        <w:t xml:space="preserve">7. Challenges and Debugging</w:t>
      </w:r>
    </w:p>
    <w:p>
      <w:pPr>
        <w:spacing w:after="200" w:line="300"/>
        <w:jc w:val="both"/>
      </w:pPr>
      <w:r>
        <w:rPr>
          <w:rFonts w:ascii="Calibri" w:cs="Calibri" w:eastAsia="Calibri" w:hAnsi="Calibri"/>
          <w:b w:val="false"/>
          <w:bCs w:val="false"/>
          <w:i w:val="false"/>
          <w:iCs w:val="false"/>
          <w:color w:val="1A1A1A"/>
          <w:sz w:val="22"/>
          <w:szCs w:val="22"/>
        </w:rPr>
        <w:t xml:space="preserve">This section documents three genuine implementation bugs encountered while building the model, in the order they were found. I am including this section deliberately — each of these was a real source of wasted time, and each one taught me something about the underlying mathematics that I would not have understood as clearly if the first attempt had simply worked.</w:t>
      </w:r>
    </w:p>
    <w:p>
      <w:pPr>
        <w:pStyle w:val="Heading2"/>
        <w:spacing w:after="120" w:before="260"/>
      </w:pPr>
      <w:r>
        <w:rPr>
          <w:rFonts w:ascii="Cambria" w:cs="Cambria" w:eastAsia="Cambria" w:hAnsi="Cambria"/>
          <w:b/>
          <w:bCs/>
          <w:color w:val="1A1A1A"/>
          <w:sz w:val="25"/>
          <w:szCs w:val="25"/>
        </w:rPr>
        <w:t xml:space="preserve">7.1 The Round-1 = 25 Bug</w:t>
      </w:r>
    </w:p>
    <w:p>
      <w:pPr>
        <w:spacing w:after="200" w:line="300"/>
        <w:jc w:val="both"/>
      </w:pPr>
      <w:r>
        <w:rPr>
          <w:rFonts w:ascii="Calibri" w:cs="Calibri" w:eastAsia="Calibri" w:hAnsi="Calibri"/>
          <w:b w:val="false"/>
          <w:bCs w:val="false"/>
          <w:i w:val="false"/>
          <w:iCs w:val="false"/>
          <w:color w:val="1A1A1A"/>
          <w:sz w:val="22"/>
          <w:szCs w:val="22"/>
        </w:rPr>
        <w:t xml:space="preserve">The very first version of the CP-SAT model, run on the smallest possible case (round 1, b = 25 bits), returned a degree of 25 — every single bit in the state. This is not merely wrong, it is mathematically impossible: round 1's degree is fixed at exactly 2, since it is entirely determined by chi's own algebraic degree, and this is confirmed by every other method used later in the project.</w:t>
      </w:r>
    </w:p>
    <w:p>
      <w:pPr>
        <w:spacing w:after="200" w:line="300"/>
        <w:jc w:val="both"/>
      </w:pPr>
      <w:r>
        <w:rPr>
          <w:rFonts w:ascii="Calibri" w:cs="Calibri" w:eastAsia="Calibri" w:hAnsi="Calibri"/>
          <w:b w:val="false"/>
          <w:bCs w:val="false"/>
          <w:i w:val="false"/>
          <w:iCs w:val="false"/>
          <w:color w:val="1A1A1A"/>
          <w:sz w:val="22"/>
          <w:szCs w:val="22"/>
        </w:rPr>
        <w:t xml:space="preserve">The cause was a missing constraint. The model correctly required that a bit produced by theta could only become active if it was justified by real activity earlier in the round (a supply-side rule) — but nothing forced that bit to actually be consumed by anything downstream in chi (a demand-side rule). As a result, the solver was free to mark bits as active purely because doing so was not explicitly forbidden, inflating the objective with activity that never reached the target output bit at all. Adding the missing demand-side equality — requiring every bit's activity to be accounted for by at least one of chi's term selectors — fixed this immediately, and round 1 correctly returned 2.</w:t>
      </w:r>
    </w:p>
    <w:p>
      <w:pPr>
        <w:pStyle w:val="Heading2"/>
        <w:spacing w:after="120" w:before="260"/>
      </w:pPr>
      <w:r>
        <w:rPr>
          <w:rFonts w:ascii="Cambria" w:cs="Cambria" w:eastAsia="Cambria" w:hAnsi="Cambria"/>
          <w:b/>
          <w:bCs/>
          <w:color w:val="1A1A1A"/>
          <w:sz w:val="25"/>
          <w:szCs w:val="25"/>
        </w:rPr>
        <w:t xml:space="preserve">7.2 The Missing buildModel() Method</w:t>
      </w:r>
    </w:p>
    <w:p>
      <w:pPr>
        <w:spacing w:after="200" w:line="300"/>
        <w:jc w:val="both"/>
      </w:pPr>
      <w:r>
        <w:rPr>
          <w:rFonts w:ascii="Calibri" w:cs="Calibri" w:eastAsia="Calibri" w:hAnsi="Calibri"/>
          <w:b w:val="false"/>
          <w:bCs w:val="false"/>
          <w:i w:val="false"/>
          <w:iCs w:val="false"/>
          <w:color w:val="1A1A1A"/>
          <w:sz w:val="22"/>
          <w:szCs w:val="22"/>
        </w:rPr>
        <w:t xml:space="preserve">During a later refactor, intended to separate the model-construction logic from the actual solving call so that the same model could be reused by both a plain solve and a timed solve, the model-building code was removed from its original location and replaced with a call to a new method, buildModel(rounds). The method that was meant to contain the extracted logic, however, was never actually written — the call existed, but its target did not. This produced a straightforward compile error (“cannot find symbol: method buildModel(int)”) the next time the project was built.</w:t>
      </w:r>
    </w:p>
    <w:p>
      <w:pPr>
        <w:spacing w:after="200" w:line="300"/>
        <w:jc w:val="both"/>
      </w:pPr>
      <w:r>
        <w:rPr>
          <w:rFonts w:ascii="Calibri" w:cs="Calibri" w:eastAsia="Calibri" w:hAnsi="Calibri"/>
          <w:b w:val="false"/>
          <w:bCs w:val="false"/>
          <w:i w:val="false"/>
          <w:iCs w:val="false"/>
          <w:color w:val="1A1A1A"/>
          <w:sz w:val="22"/>
          <w:szCs w:val="22"/>
        </w:rPr>
        <w:t xml:space="preserve">This one was simple to fix once identified — the missing method was added back with the extracted model-construction logic inside it — but it is included here because it illustrates a pattern worth being aware of during any refactor: removing code from one place and referencing it from another are two separate steps, and skipping the second one produces an error that looks unrelated to the actual change being made.</w:t>
      </w:r>
    </w:p>
    <w:p>
      <w:pPr>
        <w:pStyle w:val="Heading2"/>
        <w:spacing w:after="120" w:before="260"/>
      </w:pPr>
      <w:r>
        <w:rPr>
          <w:rFonts w:ascii="Cambria" w:cs="Cambria" w:eastAsia="Cambria" w:hAnsi="Cambria"/>
          <w:b/>
          <w:bCs/>
          <w:color w:val="1A1A1A"/>
          <w:sz w:val="25"/>
          <w:szCs w:val="25"/>
        </w:rPr>
        <w:t xml:space="preserve">7.3 The Greedy Heuristic's Direction Bug</w:t>
      </w:r>
    </w:p>
    <w:p>
      <w:pPr>
        <w:spacing w:after="200" w:line="300"/>
        <w:jc w:val="both"/>
      </w:pPr>
      <w:r>
        <w:rPr>
          <w:rFonts w:ascii="Calibri" w:cs="Calibri" w:eastAsia="Calibri" w:hAnsi="Calibri"/>
          <w:b w:val="false"/>
          <w:bCs w:val="false"/>
          <w:i w:val="false"/>
          <w:iCs w:val="false"/>
          <w:color w:val="1A1A1A"/>
          <w:sz w:val="22"/>
          <w:szCs w:val="22"/>
        </w:rPr>
        <w:t xml:space="preserve">Before the full CP-SAT model existed, an earlier and much simpler approach was tried: a hand-written greedy algorithm that worked backward from a target output bit, making a single locally reasonable choice at each branching point instead of exhaustively searching. This greedy version initially preferred to reuse a bit that had already been claimed elsewhere in the search, on the (incorrect) reasoning that reuse was “free”.</w:t>
      </w:r>
    </w:p>
    <w:p>
      <w:pPr>
        <w:spacing w:after="200" w:line="300"/>
        <w:jc w:val="both"/>
      </w:pPr>
      <w:r>
        <w:rPr>
          <w:rFonts w:ascii="Calibri" w:cs="Calibri" w:eastAsia="Calibri" w:hAnsi="Calibri"/>
          <w:b w:val="false"/>
          <w:bCs w:val="false"/>
          <w:i w:val="false"/>
          <w:iCs w:val="false"/>
          <w:color w:val="1A1A1A"/>
          <w:sz w:val="22"/>
          <w:szCs w:val="22"/>
        </w:rPr>
        <w:t xml:space="preserve">This is backwards for what the algorithm is supposed to be maximizing. Since the goal is to find the largest possible group of surviving input bits, preferring to reuse an already-counted bit actively works against the objective — it shrinks the search instead of growing it. The symptom was a table of degree values that occasionally decreased from one round to the next, which is provably impossible: a genuine degree-d monomial trail can always be extended into a valid degree-d trail one round later, so true degree can never decrease as rounds increase. Once this contradiction was noticed, the greedy's preference was reversed — always favour a fresh, not-yet-claimed bit over reuse — and the reported values became properly non-decreasing.</w:t>
      </w:r>
    </w:p>
    <w:p>
      <w:pPr>
        <w:spacing w:after="200" w:line="300"/>
        <w:jc w:val="both"/>
      </w:pPr>
      <w:r>
        <w:rPr>
          <w:rFonts w:ascii="Calibri" w:cs="Calibri" w:eastAsia="Calibri" w:hAnsi="Calibri"/>
          <w:b w:val="false"/>
          <w:bCs w:val="false"/>
          <w:i w:val="false"/>
          <w:iCs w:val="false"/>
          <w:color w:val="1A1A1A"/>
          <w:sz w:val="22"/>
          <w:szCs w:val="22"/>
        </w:rPr>
        <w:t xml:space="preserve">This particular bug is also the direct reason the project moved away from the hand-written greedy approach entirely and towards the full CP-SAT model. A greedy heuristic that makes one irrevocable local choice per step cannot see the consequences of that choice several rounds later, and it has no mechanism to backtrack if a choice turns out to be poor. CP-SAT solves the entire multi-round system simultaneously, which is what actually resolves this class of problem correctly.</w:t>
      </w:r>
    </w:p>
    <w:p>
      <w:pPr>
        <w:pStyle w:val="Heading1"/>
        <w:spacing w:after="160" w:before="360"/>
      </w:pPr>
      <w:r>
        <w:rPr>
          <w:rFonts w:ascii="Cambria" w:cs="Cambria" w:eastAsia="Cambria" w:hAnsi="Cambria"/>
          <w:b/>
          <w:bCs/>
          <w:color w:val="0B5563"/>
          <w:sz w:val="30"/>
          <w:szCs w:val="30"/>
        </w:rPr>
        <w:t xml:space="preserve">8. Verification Methodology</w:t>
      </w:r>
    </w:p>
    <w:p>
      <w:pPr>
        <w:spacing w:after="200" w:line="300"/>
        <w:jc w:val="both"/>
      </w:pPr>
      <w:r>
        <w:rPr>
          <w:rFonts w:ascii="Calibri" w:cs="Calibri" w:eastAsia="Calibri" w:hAnsi="Calibri"/>
          <w:b w:val="false"/>
          <w:bCs w:val="false"/>
          <w:i w:val="false"/>
          <w:iCs w:val="false"/>
          <w:color w:val="1A1A1A"/>
          <w:sz w:val="22"/>
          <w:szCs w:val="22"/>
        </w:rPr>
        <w:t xml:space="preserve">Since the CP-SAT model is itself a piece of software, and software can contain bugs (as demonstrated in Section 7), its output was never treated as trustworthy on its own. Three independent verification methods were used, each built on different mathematics, so that an error in one would be unlikely to silently match an error in another.</w:t>
      </w:r>
    </w:p>
    <w:p>
      <w:pPr>
        <w:pStyle w:val="Heading2"/>
        <w:spacing w:after="120" w:before="260"/>
      </w:pPr>
      <w:r>
        <w:rPr>
          <w:rFonts w:ascii="Cambria" w:cs="Cambria" w:eastAsia="Cambria" w:hAnsi="Cambria"/>
          <w:b/>
          <w:bCs/>
          <w:color w:val="1A1A1A"/>
          <w:sz w:val="25"/>
          <w:szCs w:val="25"/>
        </w:rPr>
        <w:t xml:space="preserve">8.1 Method 1 — Comparison Against the Boura Formula</w:t>
      </w:r>
    </w:p>
    <w:p>
      <w:pPr>
        <w:spacing w:after="200" w:line="300"/>
        <w:jc w:val="both"/>
      </w:pPr>
      <w:r>
        <w:rPr>
          <w:rFonts w:ascii="Calibri" w:cs="Calibri" w:eastAsia="Calibri" w:hAnsi="Calibri"/>
          <w:b w:val="false"/>
          <w:bCs w:val="false"/>
          <w:i w:val="false"/>
          <w:iCs w:val="false"/>
          <w:color w:val="1A1A1A"/>
          <w:sz w:val="22"/>
          <w:szCs w:val="22"/>
        </w:rPr>
        <w:t xml:space="preserve">The CP-SAT result for each round was compared directly against the closed-form formula from Section 5, recomputed independently rather than looked up from a table. At b = 50, the two methods agreed exactly at every round that could be certified within the available solve-time budget: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3200"/>
      </w:tblGrid>
      <w:tr>
        <w:trPr>
          <w:tblHeader/>
        </w:trPr>
        <w:tc>
          <w:tcPr>
            <w:tcW w:type="dxa" w:w="1400"/>
            <w:shd w:fill="0B556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Round</w:t>
            </w:r>
          </w:p>
        </w:tc>
        <w:tc>
          <w:tcPr>
            <w:tcW w:type="dxa" w:w="2600"/>
            <w:shd w:fill="0B556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CP-SAT result</w:t>
            </w:r>
          </w:p>
        </w:tc>
        <w:tc>
          <w:tcPr>
            <w:tcW w:type="dxa" w:w="2600"/>
            <w:shd w:fill="0B556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Formula result</w:t>
            </w:r>
          </w:p>
        </w:tc>
        <w:tc>
          <w:tcPr>
            <w:tcW w:type="dxa" w:w="3200"/>
            <w:shd w:fill="0B556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Match</w:t>
            </w:r>
          </w:p>
        </w:tc>
      </w:tr>
      <w:tr>
        <w:tc>
          <w:tcPr>
            <w:tcW w:type="dxa" w:w="1400"/>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1</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2</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2</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exact match</w:t>
            </w:r>
          </w:p>
        </w:tc>
      </w:tr>
      <w:tr>
        <w:tc>
          <w:tcPr>
            <w:tcW w:type="dxa" w:w="1400"/>
            <w:shd w:fill="EEF3F3"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2</w:t>
            </w:r>
          </w:p>
        </w:tc>
        <w:tc>
          <w:tcPr>
            <w:tcW w:type="dxa" w:w="260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4</w:t>
            </w:r>
          </w:p>
        </w:tc>
        <w:tc>
          <w:tcPr>
            <w:tcW w:type="dxa" w:w="260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4</w:t>
            </w:r>
          </w:p>
        </w:tc>
        <w:tc>
          <w:tcPr>
            <w:tcW w:type="dxa" w:w="320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exact match</w:t>
            </w:r>
          </w:p>
        </w:tc>
      </w:tr>
      <w:tr>
        <w:tc>
          <w:tcPr>
            <w:tcW w:type="dxa" w:w="1400"/>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3</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8</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8</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exact match</w:t>
            </w:r>
          </w:p>
        </w:tc>
      </w:tr>
      <w:tr>
        <w:tc>
          <w:tcPr>
            <w:tcW w:type="dxa" w:w="1400"/>
            <w:shd w:fill="EEF3F3"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4</w:t>
            </w:r>
          </w:p>
        </w:tc>
        <w:tc>
          <w:tcPr>
            <w:tcW w:type="dxa" w:w="260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16</w:t>
            </w:r>
          </w:p>
        </w:tc>
        <w:tc>
          <w:tcPr>
            <w:tcW w:type="dxa" w:w="260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16</w:t>
            </w:r>
          </w:p>
        </w:tc>
        <w:tc>
          <w:tcPr>
            <w:tcW w:type="dxa" w:w="320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exact match</w:t>
            </w:r>
          </w:p>
        </w:tc>
      </w:tr>
      <w:tr>
        <w:tc>
          <w:tcPr>
            <w:tcW w:type="dxa" w:w="1400"/>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5</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32</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32</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exact match</w:t>
            </w:r>
          </w:p>
        </w:tc>
      </w:tr>
      <w:tr>
        <w:tc>
          <w:tcPr>
            <w:tcW w:type="dxa" w:w="1400"/>
            <w:shd w:fill="EEF3F3"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6</w:t>
            </w:r>
          </w:p>
        </w:tc>
        <w:tc>
          <w:tcPr>
            <w:tcW w:type="dxa" w:w="260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44</w:t>
            </w:r>
          </w:p>
        </w:tc>
        <w:tc>
          <w:tcPr>
            <w:tcW w:type="dxa" w:w="260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44</w:t>
            </w:r>
          </w:p>
        </w:tc>
        <w:tc>
          <w:tcPr>
            <w:tcW w:type="dxa" w:w="320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exact match</w:t>
            </w:r>
          </w:p>
        </w:tc>
      </w:tr>
    </w:tbl>
    <w:p>
      <w:pPr>
        <w:spacing w:after="240" w:before="60"/>
        <w:jc w:val="center"/>
      </w:pPr>
      <w:r>
        <w:rPr>
          <w:rFonts w:ascii="Calibri" w:cs="Calibri" w:eastAsia="Calibri" w:hAnsi="Calibri"/>
          <w:i/>
          <w:iCs/>
          <w:color w:val="555555"/>
          <w:sz w:val="19"/>
          <w:szCs w:val="19"/>
        </w:rPr>
        <w:t xml:space="preserve">Table 5. CP-SAT vs. the Boura-Canteaut-De Cannière formula, b = 50.</w:t>
      </w:r>
    </w:p>
    <w:p>
      <w:pPr>
        <w:spacing w:after="200" w:line="300"/>
        <w:jc w:val="both"/>
      </w:pPr>
      <w:r>
        <w:rPr>
          <w:rFonts w:ascii="Calibri" w:cs="Calibri" w:eastAsia="Calibri" w:hAnsi="Calibri"/>
          <w:b w:val="false"/>
          <w:bCs w:val="false"/>
          <w:i w:val="false"/>
          <w:iCs w:val="false"/>
          <w:color w:val="1A1A1A"/>
          <w:sz w:val="22"/>
          <w:szCs w:val="22"/>
        </w:rPr>
        <w:t xml:space="preserve">It is worth stating precisely what this agreement does and does not establish. It does not, on its own, prove that either number is the true algebraic degree — both are upper bounds, derived by different reasoning, and it is theoretically possible (though not observed here) for two independent upper bounds to coincidentally match without either being exact. What the agreement does establish is that neither method appears to contain an implementation error large enough to produce a visible discrepancy, which is itself meaningful given that Section 7 documents real bugs that were caught precisely because they broke this kind of cross-check.</w:t>
      </w:r>
    </w:p>
    <w:p>
      <w:pPr>
        <w:pStyle w:val="Heading2"/>
        <w:spacing w:after="120" w:before="260"/>
      </w:pPr>
      <w:r>
        <w:rPr>
          <w:rFonts w:ascii="Cambria" w:cs="Cambria" w:eastAsia="Cambria" w:hAnsi="Cambria"/>
          <w:b/>
          <w:bCs/>
          <w:color w:val="1A1A1A"/>
          <w:sz w:val="25"/>
          <w:szCs w:val="25"/>
        </w:rPr>
        <w:t xml:space="preserve">8.2 Method 2 — Brute-Force Exact ANF</w:t>
      </w:r>
    </w:p>
    <w:p>
      <w:pPr>
        <w:spacing w:after="200" w:line="300"/>
        <w:jc w:val="both"/>
      </w:pPr>
      <w:r>
        <w:rPr>
          <w:rFonts w:ascii="Calibri" w:cs="Calibri" w:eastAsia="Calibri" w:hAnsi="Calibri"/>
          <w:b w:val="false"/>
          <w:bCs w:val="false"/>
          <w:i w:val="false"/>
          <w:iCs w:val="false"/>
          <w:color w:val="1A1A1A"/>
          <w:sz w:val="22"/>
          <w:szCs w:val="22"/>
        </w:rPr>
        <w:t xml:space="preserve">For rounds 1 and 2 only, the literal true polynomial was computed directly (the same computation described in Section 3, before it became infeasible), giving a genuine exact value rather than a bound:</w:t>
      </w:r>
    </w:p>
    <w:p>
      <w:pPr>
        <w:pStyle w:val="ListParagraph"/>
        <w:numPr>
          <w:ilvl w:val="0"/>
          <w:numId w:val="1"/>
        </w:numPr>
        <w:spacing w:after="100" w:line="280"/>
      </w:pPr>
      <w:r>
        <w:rPr>
          <w:rFonts w:ascii="Calibri" w:cs="Calibri" w:eastAsia="Calibri" w:hAnsi="Calibri"/>
          <w:color w:val="1A1A1A"/>
          <w:sz w:val="22"/>
          <w:szCs w:val="22"/>
        </w:rPr>
        <w:t xml:space="preserve">Round 1: 129 monomials, exact degree = 2.</w:t>
      </w:r>
    </w:p>
    <w:p>
      <w:pPr>
        <w:pStyle w:val="ListParagraph"/>
        <w:numPr>
          <w:ilvl w:val="0"/>
          <w:numId w:val="1"/>
        </w:numPr>
        <w:spacing w:after="100" w:line="280"/>
      </w:pPr>
      <w:r>
        <w:rPr>
          <w:rFonts w:ascii="Calibri" w:cs="Calibri" w:eastAsia="Calibri" w:hAnsi="Calibri"/>
          <w:color w:val="1A1A1A"/>
          <w:sz w:val="22"/>
          <w:szCs w:val="22"/>
        </w:rPr>
        <w:t xml:space="preserve">Round 2: 7,169 monomials, exact degree = 4.</w:t>
      </w:r>
    </w:p>
    <w:p>
      <w:pPr>
        <w:spacing w:after="200" w:line="300"/>
        <w:jc w:val="both"/>
      </w:pPr>
      <w:r>
        <w:rPr>
          <w:rFonts w:ascii="Calibri" w:cs="Calibri" w:eastAsia="Calibri" w:hAnsi="Calibri"/>
          <w:b w:val="false"/>
          <w:bCs w:val="false"/>
          <w:i w:val="false"/>
          <w:iCs w:val="false"/>
          <w:color w:val="1A1A1A"/>
          <w:sz w:val="22"/>
          <w:szCs w:val="22"/>
        </w:rPr>
        <w:t xml:space="preserve">Both values match CP-SAT and the formula exactly. This is the strongest evidence available in the whole project, since it involves no bounding argument at all — but by the nature of the exact-computation problem described in Section 3, it cannot be extended past round 2.</w:t>
      </w:r>
    </w:p>
    <w:p>
      <w:pPr>
        <w:pStyle w:val="Heading2"/>
        <w:spacing w:after="120" w:before="260"/>
      </w:pPr>
      <w:r>
        <w:rPr>
          <w:rFonts w:ascii="Cambria" w:cs="Cambria" w:eastAsia="Cambria" w:hAnsi="Cambria"/>
          <w:b/>
          <w:bCs/>
          <w:color w:val="1A1A1A"/>
          <w:sz w:val="25"/>
          <w:szCs w:val="25"/>
        </w:rPr>
        <w:t xml:space="preserve">8.3 Method 3 — Zero-Sum Distinguisher</w:t>
      </w:r>
    </w:p>
    <w:p>
      <w:pPr>
        <w:spacing w:after="200" w:line="300"/>
        <w:jc w:val="both"/>
      </w:pPr>
      <w:r>
        <w:rPr>
          <w:rFonts w:ascii="Calibri" w:cs="Calibri" w:eastAsia="Calibri" w:hAnsi="Calibri"/>
          <w:b w:val="false"/>
          <w:bCs w:val="false"/>
          <w:i w:val="false"/>
          <w:iCs w:val="false"/>
          <w:color w:val="1A1A1A"/>
          <w:sz w:val="22"/>
          <w:szCs w:val="22"/>
        </w:rPr>
        <w:t xml:space="preserve">The third method is empirical rather than symbolic: it runs the real cipher (not the abstract CP-SAT model) over a specially chosen set of inputs and checks a known theorem about degree-bounded functions.</w:t>
      </w:r>
    </w:p>
    <w:p>
      <w:pPr>
        <w:spacing w:after="200" w:line="300"/>
        <w:jc w:val="both"/>
      </w:pPr>
      <w:r>
        <w:rPr>
          <w:rFonts w:ascii="Calibri" w:cs="Calibri" w:eastAsia="Calibri" w:hAnsi="Calibri"/>
          <w:b w:val="false"/>
          <w:bCs w:val="false"/>
          <w:i w:val="false"/>
          <w:iCs w:val="false"/>
          <w:color w:val="1A1A1A"/>
          <w:sz w:val="22"/>
          <w:szCs w:val="22"/>
        </w:rPr>
        <w:t xml:space="preserve">The underlying theorem, from classical higher-order derivative theory (X. Lai, “Higher Order Derivatives and Differential Cryptanalysis”, 1994), and applied specifically to permutations in the zero-sum framing used by Aumasson and Meier — the same technique used in the Boura-Canteaut-De Cannière paper itself — states:</w:t>
      </w:r>
    </w:p>
    <w:p>
      <w:pPr>
        <w:spacing w:after="160" w:before="160"/>
        <w:jc w:val="center"/>
      </w:pPr>
      <w:r>
        <w:rPr>
          <w:rFonts w:ascii="Cambria Math" w:cs="Cambria Math" w:eastAsia="Cambria Math" w:hAnsi="Cambria Math"/>
          <w:color w:val="1A1A1A"/>
          <w:sz w:val="26"/>
          <w:szCs w:val="26"/>
        </w:rPr>
        <w:t xml:space="preserve">Dₐ₁,…,ₐᵈ₊₁ f(x)  =  ⊕ over S ⊆ {1,…,d+1} of  f(x ⊕ ⊕ᵢ∈ᵢ aᵢ)  =  0</w:t>
      </w:r>
    </w:p>
    <w:p>
      <w:pPr>
        <w:spacing w:after="200" w:line="300"/>
        <w:jc w:val="both"/>
      </w:pPr>
      <w:r>
        <w:rPr>
          <w:rFonts w:ascii="Calibri" w:cs="Calibri" w:eastAsia="Calibri" w:hAnsi="Calibri"/>
          <w:b w:val="false"/>
          <w:bCs w:val="false"/>
          <w:i w:val="false"/>
          <w:iCs w:val="false"/>
          <w:color w:val="1A1A1A"/>
          <w:sz w:val="22"/>
          <w:szCs w:val="22"/>
        </w:rPr>
        <w:t xml:space="preserve">In words: if a function f has algebraic degree at most d, then XOR-summing its output across every point of any (d+1)-dimensional affine subspace is always zero, regardless of which subspace is chosen. A random function has no reason to satisfy this reliably — it would only happen by chance. Observing this cancellation predictably, on the real cipher, is exactly the kind of pattern that constitutes a distinguisher, and checking it here serves as an independent confirmation of the claimed degree.</w:t>
      </w:r>
    </w:p>
    <w:p>
      <w:pPr>
        <w:spacing w:after="200" w:line="300"/>
        <w:jc w:val="both"/>
      </w:pPr>
      <w:r>
        <w:rPr>
          <w:rFonts w:ascii="Calibri" w:cs="Calibri" w:eastAsia="Calibri" w:hAnsi="Calibri"/>
          <w:b w:val="false"/>
          <w:bCs w:val="false"/>
          <w:i w:val="false"/>
          <w:iCs w:val="false"/>
          <w:color w:val="1A1A1A"/>
          <w:sz w:val="22"/>
          <w:szCs w:val="22"/>
        </w:rPr>
        <w:t xml:space="preserve">This was implemented by writing a second, completely separate piece of code — a literal, value-level Java re-implementation of theta, rho, pi, chi and iota, including the real round constants (verified against the well-known published constants before use) — and running it over every point of the relevant subspace for a claimed degree d, then XOR-summing the results.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100"/>
        <w:gridCol w:w="2300"/>
        <w:gridCol w:w="2000"/>
      </w:tblGrid>
      <w:tr>
        <w:trPr>
          <w:tblHeader/>
        </w:trPr>
        <w:tc>
          <w:tcPr>
            <w:tcW w:type="dxa" w:w="900"/>
            <w:shd w:fill="0B556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Round</w:t>
            </w:r>
          </w:p>
        </w:tc>
        <w:tc>
          <w:tcPr>
            <w:tcW w:type="dxa" w:w="1500"/>
            <w:shd w:fill="0B556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Claimed degree</w:t>
            </w:r>
          </w:p>
        </w:tc>
        <w:tc>
          <w:tcPr>
            <w:tcW w:type="dxa" w:w="2100"/>
            <w:shd w:fill="0B556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Dimension tested (d+1)</w:t>
            </w:r>
          </w:p>
        </w:tc>
        <w:tc>
          <w:tcPr>
            <w:tcW w:type="dxa" w:w="2300"/>
            <w:shd w:fill="0B556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Subspace size</w:t>
            </w:r>
          </w:p>
        </w:tc>
        <w:tc>
          <w:tcPr>
            <w:tcW w:type="dxa" w:w="2000"/>
            <w:shd w:fill="0B556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XOR-sum result</w:t>
            </w:r>
          </w:p>
        </w:tc>
      </w:tr>
      <w:tr>
        <w:tc>
          <w:tcPr>
            <w:tcW w:type="dxa" w:w="900"/>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1</w:t>
            </w:r>
          </w:p>
        </w:tc>
        <w:tc>
          <w:tcPr>
            <w:tcW w:type="dxa" w:w="15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2</w:t>
            </w:r>
          </w:p>
        </w:tc>
        <w:tc>
          <w:tcPr>
            <w:tcW w:type="dxa" w:w="21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3</w:t>
            </w:r>
          </w:p>
        </w:tc>
        <w:tc>
          <w:tcPr>
            <w:tcW w:type="dxa" w:w="23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8</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0 (confirmed)</w:t>
            </w:r>
          </w:p>
        </w:tc>
      </w:tr>
      <w:tr>
        <w:tc>
          <w:tcPr>
            <w:tcW w:type="dxa" w:w="900"/>
            <w:shd w:fill="EEF3F3"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2</w:t>
            </w:r>
          </w:p>
        </w:tc>
        <w:tc>
          <w:tcPr>
            <w:tcW w:type="dxa" w:w="150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4</w:t>
            </w:r>
          </w:p>
        </w:tc>
        <w:tc>
          <w:tcPr>
            <w:tcW w:type="dxa" w:w="210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5</w:t>
            </w:r>
          </w:p>
        </w:tc>
        <w:tc>
          <w:tcPr>
            <w:tcW w:type="dxa" w:w="230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32</w:t>
            </w:r>
          </w:p>
        </w:tc>
        <w:tc>
          <w:tcPr>
            <w:tcW w:type="dxa" w:w="200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0 (confirmed)</w:t>
            </w:r>
          </w:p>
        </w:tc>
      </w:tr>
      <w:tr>
        <w:tc>
          <w:tcPr>
            <w:tcW w:type="dxa" w:w="900"/>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3</w:t>
            </w:r>
          </w:p>
        </w:tc>
        <w:tc>
          <w:tcPr>
            <w:tcW w:type="dxa" w:w="15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8</w:t>
            </w:r>
          </w:p>
        </w:tc>
        <w:tc>
          <w:tcPr>
            <w:tcW w:type="dxa" w:w="21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9</w:t>
            </w:r>
          </w:p>
        </w:tc>
        <w:tc>
          <w:tcPr>
            <w:tcW w:type="dxa" w:w="23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512</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0 (confirmed)</w:t>
            </w:r>
          </w:p>
        </w:tc>
      </w:tr>
      <w:tr>
        <w:tc>
          <w:tcPr>
            <w:tcW w:type="dxa" w:w="900"/>
            <w:shd w:fill="EEF3F3"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4</w:t>
            </w:r>
          </w:p>
        </w:tc>
        <w:tc>
          <w:tcPr>
            <w:tcW w:type="dxa" w:w="150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16</w:t>
            </w:r>
          </w:p>
        </w:tc>
        <w:tc>
          <w:tcPr>
            <w:tcW w:type="dxa" w:w="210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17</w:t>
            </w:r>
          </w:p>
        </w:tc>
        <w:tc>
          <w:tcPr>
            <w:tcW w:type="dxa" w:w="230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131,072</w:t>
            </w:r>
          </w:p>
        </w:tc>
        <w:tc>
          <w:tcPr>
            <w:tcW w:type="dxa" w:w="200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0 (confirmed)</w:t>
            </w:r>
          </w:p>
        </w:tc>
      </w:tr>
    </w:tbl>
    <w:p>
      <w:pPr>
        <w:spacing w:after="240" w:before="60"/>
        <w:jc w:val="center"/>
      </w:pPr>
      <w:r>
        <w:rPr>
          <w:rFonts w:ascii="Calibri" w:cs="Calibri" w:eastAsia="Calibri" w:hAnsi="Calibri"/>
          <w:i/>
          <w:iCs/>
          <w:color w:val="555555"/>
          <w:sz w:val="19"/>
          <w:szCs w:val="19"/>
        </w:rPr>
        <w:t xml:space="preserve">Table 6. Zero-sum verification results, b = 50, rounds 1–4.</w:t>
      </w:r>
    </w:p>
    <w:p>
      <w:pPr>
        <w:spacing w:after="200" w:line="300"/>
        <w:jc w:val="both"/>
      </w:pPr>
      <w:r>
        <w:rPr>
          <w:rFonts w:ascii="Calibri" w:cs="Calibri" w:eastAsia="Calibri" w:hAnsi="Calibri"/>
          <w:b w:val="false"/>
          <w:bCs w:val="false"/>
          <w:i w:val="false"/>
          <w:iCs w:val="false"/>
          <w:color w:val="1A1A1A"/>
          <w:sz w:val="22"/>
          <w:szCs w:val="22"/>
        </w:rPr>
        <w:t xml:space="preserve">At round 3, an additional check was performed at dimension d (rather than d+1): the theorem makes no promise at this dimension, but the sum came back nonzero. A nonzero sum at dimension d, combined with a zero sum at dimension d+1, is a direct proof that the true degree is exactly d for that round — not merely bounded by it — since the theorem's contrapositive states that a nonzero sum at dimension k proves degree ≥ k. This is the one round in the table where the true degree was pinned down from both directions independently, rather than only from above.</w:t>
      </w:r>
    </w:p>
    <w:p>
      <w:pPr>
        <w:spacing w:after="200" w:line="300"/>
        <w:jc w:val="both"/>
      </w:pPr>
      <w:r>
        <w:rPr>
          <w:rFonts w:ascii="Calibri" w:cs="Calibri" w:eastAsia="Calibri" w:hAnsi="Calibri"/>
          <w:b w:val="false"/>
          <w:bCs w:val="false"/>
          <w:i w:val="false"/>
          <w:iCs w:val="false"/>
          <w:color w:val="1A1A1A"/>
          <w:sz w:val="22"/>
          <w:szCs w:val="22"/>
        </w:rPr>
        <w:t xml:space="preserve">Zero-sum testing was deliberately scoped to rounds 1–4 only, since its cost (the subspace size, 2 to the power d+1) grows with the claimed degree, and at higher rounds this becomes computationally prohibitive — at b = 50, round 5 alone would require testing over 8 billion points. Rounds 1 and 2 at the smallest state width (b = 25) were also tested at higher rounds, up to round 5, since the smaller degree at that width kept the subspace size manageable.</w:t>
      </w:r>
    </w:p>
    <w:p>
      <w:pPr>
        <w:pStyle w:val="Heading1"/>
        <w:spacing w:after="160" w:before="360"/>
      </w:pPr>
      <w:r>
        <w:rPr>
          <w:rFonts w:ascii="Cambria" w:cs="Cambria" w:eastAsia="Cambria" w:hAnsi="Cambria"/>
          <w:b/>
          <w:bCs/>
          <w:color w:val="0B5563"/>
          <w:sz w:val="30"/>
          <w:szCs w:val="30"/>
        </w:rPr>
        <w:t xml:space="preserve">9. Results</w:t>
      </w:r>
    </w:p>
    <w:p>
      <w:pPr>
        <w:pStyle w:val="Heading2"/>
        <w:spacing w:after="120" w:before="260"/>
      </w:pPr>
      <w:r>
        <w:rPr>
          <w:rFonts w:ascii="Cambria" w:cs="Cambria" w:eastAsia="Cambria" w:hAnsi="Cambria"/>
          <w:b/>
          <w:bCs/>
          <w:color w:val="1A1A1A"/>
          <w:sz w:val="25"/>
          <w:szCs w:val="25"/>
        </w:rPr>
        <w:t xml:space="preserve">9.1 Degree Bound Across Five State Sizes</w:t>
      </w:r>
    </w:p>
    <w:p>
      <w:pPr>
        <w:spacing w:after="200" w:line="300"/>
        <w:jc w:val="both"/>
      </w:pPr>
      <w:r>
        <w:rPr>
          <w:rFonts w:ascii="Calibri" w:cs="Calibri" w:eastAsia="Calibri" w:hAnsi="Calibri"/>
          <w:b w:val="false"/>
          <w:bCs w:val="false"/>
          <w:i w:val="false"/>
          <w:iCs w:val="false"/>
          <w:color w:val="1A1A1A"/>
          <w:sz w:val="22"/>
          <w:szCs w:val="22"/>
        </w:rPr>
        <w:t xml:space="preserve">The full pipeline (CP-SAT, cross-checked against the Boura formula) was run for state widths of 25, 50, 100, 200 and 400 bits, for the rounds that could be certified within a practical solve-time budget: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660"/>
        <w:gridCol w:w="1660"/>
        <w:gridCol w:w="1660"/>
        <w:gridCol w:w="1660"/>
        <w:gridCol w:w="1660"/>
      </w:tblGrid>
      <w:tr>
        <w:trPr>
          <w:tblHeader/>
        </w:trPr>
        <w:tc>
          <w:tcPr>
            <w:tcW w:type="dxa" w:w="1100"/>
            <w:shd w:fill="0B556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Round</w:t>
            </w:r>
          </w:p>
        </w:tc>
        <w:tc>
          <w:tcPr>
            <w:tcW w:type="dxa" w:w="1660"/>
            <w:shd w:fill="0B556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b=25</w:t>
            </w:r>
          </w:p>
        </w:tc>
        <w:tc>
          <w:tcPr>
            <w:tcW w:type="dxa" w:w="1660"/>
            <w:shd w:fill="0B556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b=50</w:t>
            </w:r>
          </w:p>
        </w:tc>
        <w:tc>
          <w:tcPr>
            <w:tcW w:type="dxa" w:w="1660"/>
            <w:shd w:fill="0B556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b=100</w:t>
            </w:r>
          </w:p>
        </w:tc>
        <w:tc>
          <w:tcPr>
            <w:tcW w:type="dxa" w:w="1660"/>
            <w:shd w:fill="0B556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b=200</w:t>
            </w:r>
          </w:p>
        </w:tc>
        <w:tc>
          <w:tcPr>
            <w:tcW w:type="dxa" w:w="1660"/>
            <w:shd w:fill="0B556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b=400</w:t>
            </w:r>
          </w:p>
        </w:tc>
      </w:tr>
      <w:tr>
        <w:tc>
          <w:tcPr>
            <w:tcW w:type="dxa" w:w="1100"/>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1</w:t>
            </w:r>
          </w:p>
        </w:tc>
        <w:tc>
          <w:tcPr>
            <w:tcW w:type="dxa" w:w="166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2</w:t>
            </w:r>
          </w:p>
        </w:tc>
        <w:tc>
          <w:tcPr>
            <w:tcW w:type="dxa" w:w="166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2</w:t>
            </w:r>
          </w:p>
        </w:tc>
        <w:tc>
          <w:tcPr>
            <w:tcW w:type="dxa" w:w="166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2</w:t>
            </w:r>
          </w:p>
        </w:tc>
        <w:tc>
          <w:tcPr>
            <w:tcW w:type="dxa" w:w="166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2</w:t>
            </w:r>
          </w:p>
        </w:tc>
        <w:tc>
          <w:tcPr>
            <w:tcW w:type="dxa" w:w="166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2</w:t>
            </w:r>
          </w:p>
        </w:tc>
      </w:tr>
      <w:tr>
        <w:tc>
          <w:tcPr>
            <w:tcW w:type="dxa" w:w="1100"/>
            <w:shd w:fill="EEF3F3"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2</w:t>
            </w:r>
          </w:p>
        </w:tc>
        <w:tc>
          <w:tcPr>
            <w:tcW w:type="dxa" w:w="166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4</w:t>
            </w:r>
          </w:p>
        </w:tc>
        <w:tc>
          <w:tcPr>
            <w:tcW w:type="dxa" w:w="166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4</w:t>
            </w:r>
          </w:p>
        </w:tc>
        <w:tc>
          <w:tcPr>
            <w:tcW w:type="dxa" w:w="166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4</w:t>
            </w:r>
          </w:p>
        </w:tc>
        <w:tc>
          <w:tcPr>
            <w:tcW w:type="dxa" w:w="166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4</w:t>
            </w:r>
          </w:p>
        </w:tc>
        <w:tc>
          <w:tcPr>
            <w:tcW w:type="dxa" w:w="166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4</w:t>
            </w:r>
          </w:p>
        </w:tc>
      </w:tr>
      <w:tr>
        <w:tc>
          <w:tcPr>
            <w:tcW w:type="dxa" w:w="1100"/>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3</w:t>
            </w:r>
          </w:p>
        </w:tc>
        <w:tc>
          <w:tcPr>
            <w:tcW w:type="dxa" w:w="166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8</w:t>
            </w:r>
          </w:p>
        </w:tc>
        <w:tc>
          <w:tcPr>
            <w:tcW w:type="dxa" w:w="166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8</w:t>
            </w:r>
          </w:p>
        </w:tc>
        <w:tc>
          <w:tcPr>
            <w:tcW w:type="dxa" w:w="166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8</w:t>
            </w:r>
          </w:p>
        </w:tc>
        <w:tc>
          <w:tcPr>
            <w:tcW w:type="dxa" w:w="166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8</w:t>
            </w:r>
          </w:p>
        </w:tc>
        <w:tc>
          <w:tcPr>
            <w:tcW w:type="dxa" w:w="166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8</w:t>
            </w:r>
          </w:p>
        </w:tc>
      </w:tr>
      <w:tr>
        <w:tc>
          <w:tcPr>
            <w:tcW w:type="dxa" w:w="1100"/>
            <w:shd w:fill="EEF3F3"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4</w:t>
            </w:r>
          </w:p>
        </w:tc>
        <w:tc>
          <w:tcPr>
            <w:tcW w:type="dxa" w:w="166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16</w:t>
            </w:r>
          </w:p>
        </w:tc>
        <w:tc>
          <w:tcPr>
            <w:tcW w:type="dxa" w:w="166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16</w:t>
            </w:r>
          </w:p>
        </w:tc>
        <w:tc>
          <w:tcPr>
            <w:tcW w:type="dxa" w:w="166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16</w:t>
            </w:r>
          </w:p>
        </w:tc>
        <w:tc>
          <w:tcPr>
            <w:tcW w:type="dxa" w:w="166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16</w:t>
            </w:r>
          </w:p>
        </w:tc>
        <w:tc>
          <w:tcPr>
            <w:tcW w:type="dxa" w:w="166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16</w:t>
            </w:r>
          </w:p>
        </w:tc>
      </w:tr>
      <w:tr>
        <w:tc>
          <w:tcPr>
            <w:tcW w:type="dxa" w:w="1100"/>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5</w:t>
            </w:r>
          </w:p>
        </w:tc>
        <w:tc>
          <w:tcPr>
            <w:tcW w:type="dxa" w:w="166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22</w:t>
            </w:r>
          </w:p>
        </w:tc>
        <w:tc>
          <w:tcPr>
            <w:tcW w:type="dxa" w:w="166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32</w:t>
            </w:r>
          </w:p>
        </w:tc>
        <w:tc>
          <w:tcPr>
            <w:tcW w:type="dxa" w:w="166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32</w:t>
            </w:r>
          </w:p>
        </w:tc>
        <w:tc>
          <w:tcPr>
            <w:tcW w:type="dxa" w:w="166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32</w:t>
            </w:r>
          </w:p>
        </w:tc>
        <w:tc>
          <w:tcPr>
            <w:tcW w:type="dxa" w:w="166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32</w:t>
            </w:r>
          </w:p>
        </w:tc>
      </w:tr>
      <w:tr>
        <w:tc>
          <w:tcPr>
            <w:tcW w:type="dxa" w:w="1100"/>
            <w:shd w:fill="EEF3F3"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6</w:t>
            </w:r>
          </w:p>
        </w:tc>
        <w:tc>
          <w:tcPr>
            <w:tcW w:type="dxa" w:w="166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24 (saturated)</w:t>
            </w:r>
          </w:p>
        </w:tc>
        <w:tc>
          <w:tcPr>
            <w:tcW w:type="dxa" w:w="166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44</w:t>
            </w:r>
          </w:p>
        </w:tc>
        <w:tc>
          <w:tcPr>
            <w:tcW w:type="dxa" w:w="166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64</w:t>
            </w:r>
          </w:p>
        </w:tc>
        <w:tc>
          <w:tcPr>
            <w:tcW w:type="dxa" w:w="166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64</w:t>
            </w:r>
          </w:p>
        </w:tc>
        <w:tc>
          <w:tcPr>
            <w:tcW w:type="dxa" w:w="1660"/>
            <w:shd w:fill="EEF3F3"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64</w:t>
            </w:r>
          </w:p>
        </w:tc>
      </w:tr>
    </w:tbl>
    <w:p>
      <w:pPr>
        <w:spacing w:after="240" w:before="60"/>
        <w:jc w:val="center"/>
      </w:pPr>
      <w:r>
        <w:rPr>
          <w:rFonts w:ascii="Calibri" w:cs="Calibri" w:eastAsia="Calibri" w:hAnsi="Calibri"/>
          <w:i/>
          <w:iCs/>
          <w:color w:val="555555"/>
          <w:sz w:val="19"/>
          <w:szCs w:val="19"/>
        </w:rPr>
        <w:t xml:space="preserve">Table 7. Degree upper bound by round and state width.</w:t>
      </w:r>
    </w:p>
    <w:p>
      <w:pPr>
        <w:spacing w:after="200" w:line="300"/>
        <w:jc w:val="both"/>
      </w:pPr>
      <w:r>
        <w:rPr>
          <w:rFonts w:ascii="Calibri" w:cs="Calibri" w:eastAsia="Calibri" w:hAnsi="Calibri"/>
          <w:b w:val="false"/>
          <w:bCs w:val="false"/>
          <w:i w:val="false"/>
          <w:iCs w:val="false"/>
          <w:color w:val="1A1A1A"/>
          <w:sz w:val="22"/>
          <w:szCs w:val="22"/>
        </w:rPr>
        <w:t xml:space="preserve">Two things stand out in this table. First, rounds 1 through 4 give identical degree values (2, 4, 8, 16) regardless of state width. This is not a coincidence: chi's contribution to degree growth is a local property of its own 5-bit structure, independent of how wide the overall state is. State width only becomes a constraining factor once the degree value approaches the saturation ceiling (b−1) for that width — and for rounds 1–4, none of the tested widths are anywhere near that ceiling. This is the same structural fact underlying Keccak's Matryoshka scaling property mentioned in Section 2.3, now confirmed directly rather than assumed.</w:t>
      </w:r>
    </w:p>
    <w:p>
      <w:pPr>
        <w:spacing w:after="200" w:line="300"/>
        <w:jc w:val="both"/>
      </w:pPr>
      <w:r>
        <w:rPr>
          <w:rFonts w:ascii="Calibri" w:cs="Calibri" w:eastAsia="Calibri" w:hAnsi="Calibri"/>
          <w:b w:val="false"/>
          <w:bCs w:val="false"/>
          <w:i w:val="false"/>
          <w:iCs w:val="false"/>
          <w:color w:val="1A1A1A"/>
          <w:sz w:val="22"/>
          <w:szCs w:val="22"/>
        </w:rPr>
        <w:t xml:space="preserve">Second, b = 25 is the only width in this table where saturation is actually visible within the rounds tested — its ceiling (b−1 = 24) is small enough to be reached by round 6. The other widths have much higher ceilings (49, 99, 199, 399) and had not yet reached them within the rounds certified.</w:t>
      </w:r>
    </w:p>
    <w:p>
      <w:pPr>
        <w:pStyle w:val="Heading2"/>
        <w:spacing w:after="120" w:before="260"/>
      </w:pPr>
      <w:r>
        <w:rPr>
          <w:rFonts w:ascii="Cambria" w:cs="Cambria" w:eastAsia="Cambria" w:hAnsi="Cambria"/>
          <w:b/>
          <w:bCs/>
          <w:color w:val="1A1A1A"/>
          <w:sz w:val="25"/>
          <w:szCs w:val="25"/>
        </w:rPr>
        <w:t xml:space="preserve">9.2 Saturation</w:t>
      </w:r>
    </w:p>
    <w:p>
      <w:pPr>
        <w:spacing w:after="200" w:line="300"/>
        <w:jc w:val="both"/>
      </w:pPr>
      <w:r>
        <w:rPr>
          <w:rFonts w:ascii="Calibri" w:cs="Calibri" w:eastAsia="Calibri" w:hAnsi="Calibri"/>
          <w:b w:val="false"/>
          <w:bCs w:val="false"/>
          <w:i w:val="false"/>
          <w:iCs w:val="false"/>
          <w:color w:val="1A1A1A"/>
          <w:sz w:val="22"/>
          <w:szCs w:val="22"/>
        </w:rPr>
        <w:t xml:space="preserve">Saturation is the round at which the algebraic degree reaches its maximum possible value, b−1, and cannot increase further, since degree on a b-bit function is capped at b−1 by definition — the largest possible monomial uses every input bit. Once saturation is reached, the round function continues to mix the state exactly as before; nothing about the round function itself weakens or stops. What changes is only that this specific metric — algebraic degree, and by extension the zero-sum distinguisher built on it — has reached the largest value it is mathematically permitted to have, and further rounds cannot make it any larger.</w:t>
      </w:r>
    </w:p>
    <w:p>
      <w:pPr>
        <w:spacing w:after="200" w:line="300"/>
        <w:jc w:val="both"/>
      </w:pPr>
      <w:r>
        <w:rPr>
          <w:rFonts w:ascii="Calibri" w:cs="Calibri" w:eastAsia="Calibri" w:hAnsi="Calibri"/>
          <w:b w:val="false"/>
          <w:bCs w:val="false"/>
          <w:i w:val="false"/>
          <w:iCs w:val="false"/>
          <w:color w:val="1A1A1A"/>
          <w:sz w:val="22"/>
          <w:szCs w:val="22"/>
        </w:rPr>
        <w:t xml:space="preserve">It is important not to over-read this: saturation of the algebraic-degree metric does not imply the cipher is secure against every possible attack. Other analysis techniques — differential cryptanalysis, linear cryptanalysis, and others — have their own separate metrics, each with its own saturation point at its own round count, none of which are measured by this project. This is also the reason real Keccak-f[1600] is specified with 24 rounds rather than stopping at whichever round any single metric saturates — designers deliberately build in a safety margin against attack techniques beyond the ones currently known or measured.</w:t>
      </w:r>
    </w:p>
    <w:p>
      <w:pPr>
        <w:pStyle w:val="Heading1"/>
        <w:spacing w:after="160" w:before="360"/>
      </w:pPr>
      <w:r>
        <w:rPr>
          <w:rFonts w:ascii="Cambria" w:cs="Cambria" w:eastAsia="Cambria" w:hAnsi="Cambria"/>
          <w:b/>
          <w:bCs/>
          <w:color w:val="0B5563"/>
          <w:sz w:val="30"/>
          <w:szCs w:val="30"/>
        </w:rPr>
        <w:t xml:space="preserve">10. Conclusion</w:t>
      </w:r>
    </w:p>
    <w:p>
      <w:pPr>
        <w:pStyle w:val="Heading2"/>
        <w:spacing w:after="120" w:before="260"/>
      </w:pPr>
      <w:r>
        <w:rPr>
          <w:rFonts w:ascii="Cambria" w:cs="Cambria" w:eastAsia="Cambria" w:hAnsi="Cambria"/>
          <w:b/>
          <w:bCs/>
          <w:color w:val="1A1A1A"/>
          <w:sz w:val="25"/>
          <w:szCs w:val="25"/>
        </w:rPr>
        <w:t xml:space="preserve">10.1 What I Took Away From This</w:t>
      </w:r>
    </w:p>
    <w:p>
      <w:pPr>
        <w:spacing w:after="200" w:line="300"/>
        <w:jc w:val="both"/>
      </w:pPr>
      <w:r>
        <w:rPr>
          <w:rFonts w:ascii="Calibri" w:cs="Calibri" w:eastAsia="Calibri" w:hAnsi="Calibri"/>
          <w:b w:val="false"/>
          <w:bCs w:val="false"/>
          <w:i w:val="false"/>
          <w:iCs w:val="false"/>
          <w:color w:val="1A1A1A"/>
          <w:sz w:val="22"/>
          <w:szCs w:val="22"/>
        </w:rPr>
        <w:t xml:space="preserve">Going into this internship I did not know what MILP stood for, and I could not have explained what “linear” meant in that context if asked — both of which came up directly in conversations with my mentor, and both of which took me longer to actually understand than I expected. The hardest part of this project, in hindsight, was not writing the CP-SAT model itself, it was building enough intuition about what a bound versus an exact value actually means, and being disciplined about not overstating what a matching result between two methods does and does not prove. I got this wrong more than once while writing this report and had to go back and correct claims that were technically an overreach even though they sounded reasonable at the time.</w:t>
      </w:r>
    </w:p>
    <w:p>
      <w:pPr>
        <w:spacing w:after="200" w:line="300"/>
        <w:jc w:val="both"/>
      </w:pPr>
      <w:r>
        <w:rPr>
          <w:rFonts w:ascii="Calibri" w:cs="Calibri" w:eastAsia="Calibri" w:hAnsi="Calibri"/>
          <w:b w:val="false"/>
          <w:bCs w:val="false"/>
          <w:i w:val="false"/>
          <w:iCs w:val="false"/>
          <w:color w:val="1A1A1A"/>
          <w:sz w:val="22"/>
          <w:szCs w:val="22"/>
        </w:rPr>
        <w:t xml:space="preserve">The three bugs in Section 7 were, honestly, more useful to my understanding than the parts of the project that worked on the first attempt. The round-1-equals-25 bug in particular forced me to actually understand what the “demand” side of a constraint means, in a way that reading about division property beforehand had not.</w:t>
      </w:r>
    </w:p>
    <w:p>
      <w:pPr>
        <w:spacing w:after="200" w:line="300"/>
        <w:jc w:val="both"/>
      </w:pPr>
      <w:r>
        <w:rPr>
          <w:rFonts w:ascii="Calibri" w:cs="Calibri" w:eastAsia="Calibri" w:hAnsi="Calibri"/>
          <w:b w:val="false"/>
          <w:bCs w:val="false"/>
          <w:i w:val="false"/>
          <w:iCs w:val="false"/>
          <w:color w:val="1A1A1A"/>
          <w:sz w:val="22"/>
          <w:szCs w:val="22"/>
        </w:rPr>
        <w:t xml:space="preserve">More generally, this project set out to build an MILP-based tool for computing algebraic degree upper bounds on reduced-round Keccak-f, and to verify its output rather than trust it blindly. Over the course of the internship, the CP-SAT model was built, debugged through three distinct implementation bugs (documented in Section 7), and cross-checked against three structurally independent methods: a closed-form published formula, brute-force exact polynomial computation, and an empirical zero-sum distinguisher run against the real cipher.</w:t>
      </w:r>
    </w:p>
    <w:p>
      <w:pPr>
        <w:spacing w:after="200" w:line="300"/>
        <w:jc w:val="both"/>
      </w:pPr>
      <w:r>
        <w:rPr>
          <w:rFonts w:ascii="Calibri" w:cs="Calibri" w:eastAsia="Calibri" w:hAnsi="Calibri"/>
          <w:b w:val="false"/>
          <w:bCs w:val="false"/>
          <w:i w:val="false"/>
          <w:iCs w:val="false"/>
          <w:color w:val="1A1A1A"/>
          <w:sz w:val="22"/>
          <w:szCs w:val="22"/>
        </w:rPr>
        <w:t xml:space="preserve">At every round that could be certified, across five different state widths, all methods that were run agreed exactly. This does not prove the Boura-Canteaut-De Cannière formula is universally tight — published results (Chen, Xiang, Zeng and Zhang, 2021) confirm it is not, for other ciphers — but it does establish, for Keccak specifically and within the rounds tested here, that the formula's bound and the MILP-derived bound coincide. Whether this remains true at higher, currently uncertified rounds is an open question this project leaves for further work, along with certifying the currently uncertified rounds at larger state widths given a longer solve-time budget.</w:t>
      </w:r>
    </w:p>
    <w:p>
      <w:pPr>
        <w:pStyle w:val="Heading1"/>
        <w:spacing w:after="160" w:before="360"/>
      </w:pPr>
      <w:r>
        <w:rPr>
          <w:rFonts w:ascii="Cambria" w:cs="Cambria" w:eastAsia="Cambria" w:hAnsi="Cambria"/>
          <w:b/>
          <w:bCs/>
          <w:color w:val="0B5563"/>
          <w:sz w:val="30"/>
          <w:szCs w:val="30"/>
        </w:rPr>
        <w:t xml:space="preserve">References</w:t>
      </w:r>
    </w:p>
    <w:p>
      <w:pPr>
        <w:spacing w:after="160"/>
      </w:pPr>
      <w:r>
        <w:rPr>
          <w:rFonts w:ascii="Calibri" w:cs="Calibri" w:eastAsia="Calibri" w:hAnsi="Calibri"/>
          <w:color w:val="1A1A1A"/>
          <w:sz w:val="20"/>
          <w:szCs w:val="20"/>
        </w:rPr>
        <w:t xml:space="preserve">[1]  C. Boura, A. Canteaut, C. De Cannière, “Higher-Order Differential Properties of Keccak and Luffa,” FSE 2011, Lecture Notes in Computer Science, vol. 6733, pp. 252–269, 2011.</w:t>
      </w:r>
    </w:p>
    <w:p>
      <w:pPr>
        <w:spacing w:after="160"/>
      </w:pPr>
      <w:r>
        <w:rPr>
          <w:rFonts w:ascii="Calibri" w:cs="Calibri" w:eastAsia="Calibri" w:hAnsi="Calibri"/>
          <w:color w:val="1A1A1A"/>
          <w:sz w:val="20"/>
          <w:szCs w:val="20"/>
        </w:rPr>
        <w:t xml:space="preserve">[2]  T. Todo, “Structural Evaluation by Generalized Integral Property,” EUROCRYPT 2015.</w:t>
      </w:r>
    </w:p>
    <w:p>
      <w:pPr>
        <w:spacing w:after="160"/>
      </w:pPr>
      <w:r>
        <w:rPr>
          <w:rFonts w:ascii="Calibri" w:cs="Calibri" w:eastAsia="Calibri" w:hAnsi="Calibri"/>
          <w:color w:val="1A1A1A"/>
          <w:sz w:val="20"/>
          <w:szCs w:val="20"/>
        </w:rPr>
        <w:t xml:space="preserve">[3]  Z. Xiang, W. Zhang, Z. Bao, D. Lin, “Applying MILP Method to Searching Integral Distinguishers Based on Division Property for Lightweight Block Ciphers,” ASIACRYPT 2016.</w:t>
      </w:r>
    </w:p>
    <w:p>
      <w:pPr>
        <w:spacing w:after="160"/>
      </w:pPr>
      <w:r>
        <w:rPr>
          <w:rFonts w:ascii="Calibri" w:cs="Calibri" w:eastAsia="Calibri" w:hAnsi="Calibri"/>
          <w:color w:val="1A1A1A"/>
          <w:sz w:val="20"/>
          <w:szCs w:val="20"/>
        </w:rPr>
        <w:t xml:space="preserve">[4]  S. Chen, Z. Xiang, X. Zeng, S. Zhang, “On the Relationships Between Different Methods for Degree Evaluation,” IACR Transactions on Symmetric Cryptology, 2021, Issue 1, pp. 411–442.</w:t>
      </w:r>
    </w:p>
    <w:p>
      <w:pPr>
        <w:spacing w:after="160"/>
      </w:pPr>
      <w:r>
        <w:rPr>
          <w:rFonts w:ascii="Calibri" w:cs="Calibri" w:eastAsia="Calibri" w:hAnsi="Calibri"/>
          <w:color w:val="1A1A1A"/>
          <w:sz w:val="20"/>
          <w:szCs w:val="20"/>
        </w:rPr>
        <w:t xml:space="preserve">[5]  X. Lai, “Higher Order Derivatives and Differential Cryptanalysis,” Communications and Cryptography, 1994.</w:t>
      </w:r>
    </w:p>
    <w:p>
      <w:pPr>
        <w:spacing w:after="160"/>
      </w:pPr>
      <w:r>
        <w:rPr>
          <w:rFonts w:ascii="Calibri" w:cs="Calibri" w:eastAsia="Calibri" w:hAnsi="Calibri"/>
          <w:color w:val="1A1A1A"/>
          <w:sz w:val="20"/>
          <w:szCs w:val="20"/>
        </w:rPr>
        <w:t xml:space="preserve">[6]  J.-P. Aumasson, W. Meier, “Zero-sum distinguishers for reduced Keccak-f and for the core functions of Luffa and Hamsi,” NIST mailing list / rump session, 2009.</w:t>
      </w:r>
    </w:p>
    <w:p>
      <w:pPr>
        <w:spacing w:after="160"/>
      </w:pPr>
      <w:r>
        <w:rPr>
          <w:rFonts w:ascii="Calibri" w:cs="Calibri" w:eastAsia="Calibri" w:hAnsi="Calibri"/>
          <w:color w:val="1A1A1A"/>
          <w:sz w:val="20"/>
          <w:szCs w:val="20"/>
        </w:rPr>
        <w:t xml:space="preserve">[7]  G. Bertoni, J. Daemen, M. Peeters, G. Van Assche, “The Keccak reference,” version 3.0, 2011.</w:t>
      </w:r>
    </w:p>
    <w:p>
      <w:pPr>
        <w:spacing w:after="160"/>
      </w:pPr>
      <w:r>
        <w:rPr>
          <w:rFonts w:ascii="Calibri" w:cs="Calibri" w:eastAsia="Calibri" w:hAnsi="Calibri"/>
          <w:color w:val="1A1A1A"/>
          <w:sz w:val="20"/>
          <w:szCs w:val="20"/>
        </w:rPr>
        <w:t xml:space="preserve">[8]  Google OR-Tools — CP-SAT Solver documentation, https://developers.google.com/optimization/cp/cp_solver</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55555"/>
        <w:sz w:val="16"/>
        <w:szCs w:val="16"/>
      </w:rPr>
      <w:t xml:space="preserve">Algebraic Degree Propagation for Keccak-f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2026-08-27T08:35:58.293Z</dcterms:created>
  <dcterms:modified xsi:type="dcterms:W3CDTF">2026-08-27T08:35:58.293Z</dcterms:modified>
</cp:coreProperties>
</file>

<file path=docProps/custom.xml><?xml version="1.0" encoding="utf-8"?>
<Properties xmlns="http://schemas.openxmlformats.org/officeDocument/2006/custom-properties" xmlns:vt="http://schemas.openxmlformats.org/officeDocument/2006/docPropsVTypes"/>
</file>