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F0D" w:rsidRDefault="00994114" w:rsidP="00123989">
      <w:r w:rsidRPr="00123989">
        <w:t>An ongoing commitment from generous donors in our community is the reason Springfield Communi</w:t>
      </w:r>
      <w:r w:rsidR="00DD0F13">
        <w:t>ty Hospital (SCH) is well on it</w:t>
      </w:r>
      <w:r w:rsidRPr="00123989">
        <w:t>s way to becoming the premier community hospital in the region</w:t>
      </w:r>
      <w:r w:rsidR="00BE4F0D">
        <w:t>. SCH is a model of modern health care because the community continues to expect high quality, local health care, and continues to renew its commitment to</w:t>
      </w:r>
      <w:r w:rsidR="00D14CF4">
        <w:t xml:space="preserve"> that goal. During 2010</w:t>
      </w:r>
      <w:r w:rsidR="00BE4F0D">
        <w:t>, gifts pledged by the community total</w:t>
      </w:r>
      <w:r w:rsidR="00D14CF4">
        <w:t>ed</w:t>
      </w:r>
      <w:r w:rsidR="00BE4F0D">
        <w:t xml:space="preserve"> over </w:t>
      </w:r>
      <w:r w:rsidR="00D14CF4">
        <w:t>$2 million, as well as the thousands of hours volunteered in time and expertise. Our community is fortunate and grateful!</w:t>
      </w:r>
    </w:p>
    <w:p w:rsidR="00BE4F0D" w:rsidRDefault="00BE4F0D" w:rsidP="00123989">
      <w:r>
        <w:t>Each year makes us acutely aware of an evolving health care system that challenges every hospital to adapt and change. These challenges arise with diminished reimbursements from the insurance industry, Medicare, and Medicaid, combined with the shrinking pool of medical professionals. Add to that over $4,000,000 in free or reduced-fee health care that SCH provided in 20</w:t>
      </w:r>
      <w:r w:rsidR="00D14CF4">
        <w:t>10</w:t>
      </w:r>
      <w:r w:rsidR="00DD0F13">
        <w:t xml:space="preserve"> to the under</w:t>
      </w:r>
      <w:r>
        <w:t>insured, and you can see that our community hospital must continue to jump new hurdles to meet the changing health care needs of the Springfield region.</w:t>
      </w:r>
    </w:p>
    <w:p w:rsidR="007677C6" w:rsidRPr="00123989" w:rsidRDefault="00BE4F0D" w:rsidP="00123989">
      <w:r>
        <w:t xml:space="preserve">The renewal of our vision for local health care comes with the realization that SCH is exactly what we are willing to make it. Ours is a privilege that requires us to renew our stewardship each year by giving our time, our minds, and when possible, our financial resources. </w:t>
      </w:r>
    </w:p>
    <w:p w:rsidR="007677C6" w:rsidRPr="00123989" w:rsidRDefault="00994114" w:rsidP="00123989">
      <w:r w:rsidRPr="00123989">
        <w:t>Capital Campaign Exceeds its Goal</w:t>
      </w:r>
    </w:p>
    <w:p w:rsidR="007677C6" w:rsidRPr="00123989" w:rsidRDefault="00994114" w:rsidP="00123989">
      <w:r w:rsidRPr="00123989">
        <w:t xml:space="preserve">2010 saw many generous donations to meet and then surpass the $8.5 million “Building for a Healthy </w:t>
      </w:r>
      <w:proofErr w:type="gramStart"/>
      <w:r w:rsidRPr="00123989">
        <w:t>Tomorrow</w:t>
      </w:r>
      <w:proofErr w:type="gramEnd"/>
      <w:r w:rsidRPr="00123989">
        <w:t>” capital campaign goal. Donations for this campaign supported the construction of the Wellness Center, the new Physician’s Wing, and the South Entrance, as well as major renovations to existing departments.</w:t>
      </w:r>
    </w:p>
    <w:p w:rsidR="007677C6" w:rsidRPr="00123989" w:rsidRDefault="00994114" w:rsidP="00123989">
      <w:r w:rsidRPr="00123989">
        <w:t xml:space="preserve">Now, as always, SCH needs your support to continue providing the kind of excellent health care that is so rare in today’s health care maze. If you would like to learn more about making a gift to SCH, please contact </w:t>
      </w:r>
      <w:r w:rsidR="00C76DD7">
        <w:t xml:space="preserve">the Director </w:t>
      </w:r>
      <w:r w:rsidRPr="00123989">
        <w:t xml:space="preserve">of Philanthropy and Community Relations </w:t>
      </w:r>
      <w:r w:rsidR="00655AB4">
        <w:t xml:space="preserve">at SCH, </w:t>
      </w:r>
      <w:r w:rsidRPr="00123989">
        <w:t>at 555-3425.</w:t>
      </w:r>
    </w:p>
    <w:p w:rsidR="00F45814" w:rsidRDefault="00F45814" w:rsidP="00123989">
      <w:r w:rsidRPr="00F45814">
        <w:rPr>
          <w:noProof/>
        </w:rPr>
        <w:lastRenderedPageBreak/>
        <w:drawing>
          <wp:inline distT="0" distB="0" distL="0" distR="0">
            <wp:extent cx="5486400" cy="32004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677C6" w:rsidRPr="00123989" w:rsidRDefault="00994114" w:rsidP="00123989">
      <w:r w:rsidRPr="00123989">
        <w:t>Types of Gifts</w:t>
      </w:r>
    </w:p>
    <w:p w:rsidR="007677C6" w:rsidRPr="00123989" w:rsidRDefault="00994114" w:rsidP="00123989">
      <w:r w:rsidRPr="00123989">
        <w:t>Annual Fund Gifts</w:t>
      </w:r>
    </w:p>
    <w:p w:rsidR="007677C6" w:rsidRPr="00123989" w:rsidRDefault="00994114" w:rsidP="00123989">
      <w:r w:rsidRPr="00123989">
        <w:t xml:space="preserve">Gifts to the Annual Fund can be unrestricted or </w:t>
      </w:r>
      <w:r w:rsidR="00DD0F13">
        <w:t xml:space="preserve">they </w:t>
      </w:r>
      <w:r w:rsidRPr="00123989">
        <w:t>can be restricted to support medical equipment or patient care services.</w:t>
      </w:r>
    </w:p>
    <w:p w:rsidR="007677C6" w:rsidRPr="00123989" w:rsidRDefault="00994114" w:rsidP="00123989">
      <w:r w:rsidRPr="00123989">
        <w:t>Memorial or Tribute Gifts</w:t>
      </w:r>
    </w:p>
    <w:p w:rsidR="007677C6" w:rsidRPr="00123989" w:rsidRDefault="00994114" w:rsidP="00123989">
      <w:r w:rsidRPr="00123989">
        <w:t>These gifts can be made in memory (Memorial) or in honor (Tribute) of friends and relatives. After a gift is received, the family or designated person named by the donor is notified of the gift; however, if it is the donor’s preference, we will respect your wish to remain anonymous.</w:t>
      </w:r>
    </w:p>
    <w:p w:rsidR="007677C6" w:rsidRPr="00123989" w:rsidRDefault="00994114" w:rsidP="00123989">
      <w:r w:rsidRPr="00123989">
        <w:t>Planned and Deferred Giving</w:t>
      </w:r>
    </w:p>
    <w:p w:rsidR="007677C6" w:rsidRPr="00123989" w:rsidRDefault="00994114" w:rsidP="00123989">
      <w:r w:rsidRPr="00123989">
        <w:t>Planned gifts bring you many benefits, including income for life or for a term of years, income for a second beneficiary, such as a spouse or children, and reductions in income, capital gains, and gift or estate taxes.</w:t>
      </w:r>
    </w:p>
    <w:p w:rsidR="007677C6" w:rsidRPr="00123989" w:rsidRDefault="00994114" w:rsidP="00123989">
      <w:r w:rsidRPr="00123989">
        <w:t>Charitable Bequests</w:t>
      </w:r>
    </w:p>
    <w:p w:rsidR="007677C6" w:rsidRPr="00123989" w:rsidRDefault="00994114" w:rsidP="00123989">
      <w:r w:rsidRPr="00123989">
        <w:t>Bequests are made through you</w:t>
      </w:r>
      <w:r w:rsidR="00DD0F13">
        <w:t>r</w:t>
      </w:r>
      <w:r w:rsidRPr="00123989">
        <w:t xml:space="preserve"> will, either by writing a new will or by adding a codicil to an existing will. A bequest will reduce your estate taxes and can be restricted for a specific use or left to the discretion of the hospital board. Bequests can take the form of a specific dollar amount, a percentage of the estate, or can identify a specific item or items of personal property.</w:t>
      </w:r>
    </w:p>
    <w:p w:rsidR="007677C6" w:rsidRPr="00123989" w:rsidRDefault="00994114" w:rsidP="00123989">
      <w:r w:rsidRPr="00123989">
        <w:t>Charitable Gift Annuity</w:t>
      </w:r>
    </w:p>
    <w:p w:rsidR="007677C6" w:rsidRPr="00123989" w:rsidRDefault="00994114" w:rsidP="00123989">
      <w:r w:rsidRPr="00123989">
        <w:lastRenderedPageBreak/>
        <w:t>A Charitable Gift Annuity enables you to transfer personal assets, such as cash or securities to Springfield Community Hospital, which then pays you a fixed annual income that is guaranteed for life. It allows you to protect and increase your own financial security while making a significant contribution to the Hospital. A Gift Annuity can be used to supplement retirement income. You can also establish a Gift Annuity for two people with annual fixed payments continuing through the lives of both individuals.</w:t>
      </w:r>
    </w:p>
    <w:p w:rsidR="007677C6" w:rsidRPr="00123989" w:rsidRDefault="00994114" w:rsidP="00123989">
      <w:r w:rsidRPr="00123989">
        <w:t>Charitable Remainder Trust</w:t>
      </w:r>
    </w:p>
    <w:p w:rsidR="007677C6" w:rsidRPr="00123989" w:rsidRDefault="00994114" w:rsidP="00123989">
      <w:r w:rsidRPr="00123989">
        <w:t>A donor makes an irrevocable gift to establish the Charitable Remainder Trust, which provides you with income for life and annual tax benefits. The donor designates a trustee to administer the trust and pay income to the donor or other designee. Upon the death of the donor, the assets from the trust benefit Springfield Community Hospital.</w:t>
      </w:r>
    </w:p>
    <w:p w:rsidR="007677C6" w:rsidRPr="00123989" w:rsidRDefault="00994114" w:rsidP="00123989">
      <w:r w:rsidRPr="00123989">
        <w:t>Named Endowments Leave Lasting Impressions</w:t>
      </w:r>
    </w:p>
    <w:p w:rsidR="007677C6" w:rsidRPr="00123989" w:rsidRDefault="00994114" w:rsidP="00123989">
      <w:r w:rsidRPr="00123989">
        <w:t>Endowments are created when funds are set aside, with the interest used to support a particular activity. Named endowment funds can be established during one’s lifetime, creating an opportunity for the donor not only to see the benefits of the gift today, but also to provide an ongoing source of funding for a particular are</w:t>
      </w:r>
      <w:r w:rsidR="00A27BA9">
        <w:t>a</w:t>
      </w:r>
      <w:r w:rsidRPr="00123989">
        <w:t xml:space="preserve"> of interest for years to come.</w:t>
      </w:r>
    </w:p>
    <w:p w:rsidR="007677C6" w:rsidRPr="00123989" w:rsidRDefault="00994114" w:rsidP="00123989">
      <w:r w:rsidRPr="00123989">
        <w:t>Frost Society</w:t>
      </w:r>
    </w:p>
    <w:p w:rsidR="007677C6" w:rsidRPr="00123989" w:rsidRDefault="00994114" w:rsidP="00123989">
      <w:r w:rsidRPr="00123989">
        <w:t>The Frost Society recognizes those individual</w:t>
      </w:r>
      <w:r w:rsidR="00A27BA9">
        <w:t>s</w:t>
      </w:r>
      <w:r w:rsidRPr="00123989">
        <w:t xml:space="preserve"> who have chosen to support the Hospital’s mission through their Estate Plans or Charitable Bequest in their will. The society is a tribute to Edna and Franklin Frost, who donated their </w:t>
      </w:r>
      <w:r w:rsidR="00A964A9">
        <w:t>house</w:t>
      </w:r>
      <w:r w:rsidRPr="00123989">
        <w:t xml:space="preserve"> to become the first Springfield Hospital in 19</w:t>
      </w:r>
      <w:r>
        <w:t>1</w:t>
      </w:r>
      <w:r w:rsidRPr="00123989">
        <w:t>1. We now remember their generosity by recognizing and expressing appreciation to community members who have included the Hospital in their will or made life-income gifts naming the Hospital as beneficiary.</w:t>
      </w:r>
    </w:p>
    <w:p w:rsidR="007677C6" w:rsidRPr="00123989" w:rsidRDefault="00994114" w:rsidP="00123989">
      <w:r w:rsidRPr="00123989">
        <w:t>By allowing us to recognize you as a member of the Frost Society, you will encourage others in the community to consider similar gifts. However, we will be glad to honor requests for anonymity.</w:t>
      </w:r>
    </w:p>
    <w:p w:rsidR="007677C6" w:rsidRPr="00123989" w:rsidRDefault="00994114" w:rsidP="00123989">
      <w:r w:rsidRPr="00123989">
        <w:t>Edna and Franklin Frost Society Members</w:t>
      </w:r>
    </w:p>
    <w:p w:rsidR="00843183" w:rsidRPr="00123989" w:rsidRDefault="00994114" w:rsidP="00604BE2">
      <w:pPr>
        <w:pStyle w:val="ListParagraph"/>
        <w:ind w:left="0"/>
      </w:pPr>
      <w:r w:rsidRPr="00123989">
        <w:t>Anonymous</w:t>
      </w:r>
    </w:p>
    <w:p w:rsidR="00843183" w:rsidRPr="00123989" w:rsidRDefault="00994114" w:rsidP="00604BE2">
      <w:pPr>
        <w:pStyle w:val="ListParagraph"/>
        <w:ind w:left="0"/>
      </w:pPr>
      <w:r w:rsidRPr="00123989">
        <w:t>Jeanette Adams</w:t>
      </w:r>
    </w:p>
    <w:p w:rsidR="00843183" w:rsidRDefault="00994114" w:rsidP="00604BE2">
      <w:pPr>
        <w:pStyle w:val="ListParagraph"/>
        <w:ind w:left="0"/>
      </w:pPr>
      <w:r w:rsidRPr="00123989">
        <w:t>John Britton and Annette Nielson</w:t>
      </w:r>
    </w:p>
    <w:p w:rsidR="00E03377" w:rsidRPr="00123989" w:rsidRDefault="00E03377" w:rsidP="00604BE2">
      <w:pPr>
        <w:pStyle w:val="ListParagraph"/>
        <w:ind w:left="0"/>
      </w:pPr>
      <w:r>
        <w:t>Richard Burt</w:t>
      </w:r>
    </w:p>
    <w:p w:rsidR="00843183" w:rsidRPr="00123989" w:rsidRDefault="00994114" w:rsidP="00604BE2">
      <w:pPr>
        <w:pStyle w:val="ListParagraph"/>
        <w:ind w:left="0"/>
      </w:pPr>
      <w:r w:rsidRPr="00123989">
        <w:t xml:space="preserve">Michael Dawson and Janet </w:t>
      </w:r>
      <w:proofErr w:type="spellStart"/>
      <w:r w:rsidRPr="00123989">
        <w:t>Neary</w:t>
      </w:r>
      <w:proofErr w:type="spellEnd"/>
    </w:p>
    <w:p w:rsidR="00843183" w:rsidRDefault="00994114" w:rsidP="00604BE2">
      <w:pPr>
        <w:pStyle w:val="ListParagraph"/>
        <w:ind w:left="0"/>
      </w:pPr>
      <w:r w:rsidRPr="00123989">
        <w:t xml:space="preserve">Ellen </w:t>
      </w:r>
      <w:proofErr w:type="spellStart"/>
      <w:r w:rsidRPr="00123989">
        <w:t>Despres</w:t>
      </w:r>
      <w:proofErr w:type="spellEnd"/>
    </w:p>
    <w:p w:rsidR="003B1E67" w:rsidRDefault="003B1E67" w:rsidP="00604BE2">
      <w:pPr>
        <w:pStyle w:val="ListParagraph"/>
        <w:ind w:left="0"/>
      </w:pPr>
      <w:r>
        <w:t>Sarah Ford</w:t>
      </w:r>
    </w:p>
    <w:p w:rsidR="003B1E67" w:rsidRPr="00123989" w:rsidRDefault="003B1E67" w:rsidP="00604BE2">
      <w:pPr>
        <w:pStyle w:val="ListParagraph"/>
        <w:ind w:left="0"/>
      </w:pPr>
      <w:r>
        <w:t>Edwin and Martha Gull</w:t>
      </w:r>
    </w:p>
    <w:p w:rsidR="00843183" w:rsidRDefault="00994114" w:rsidP="00604BE2">
      <w:pPr>
        <w:pStyle w:val="ListParagraph"/>
        <w:ind w:left="0"/>
      </w:pPr>
      <w:r w:rsidRPr="00123989">
        <w:t>Stella Hall</w:t>
      </w:r>
    </w:p>
    <w:p w:rsidR="003B1E67" w:rsidRPr="00123989" w:rsidRDefault="003B1E67" w:rsidP="00604BE2">
      <w:pPr>
        <w:pStyle w:val="ListParagraph"/>
        <w:ind w:left="0"/>
      </w:pPr>
      <w:r>
        <w:t>Harold and Elizabeth Jenkins</w:t>
      </w:r>
    </w:p>
    <w:p w:rsidR="00843183" w:rsidRPr="00123989" w:rsidRDefault="00994114" w:rsidP="00604BE2">
      <w:pPr>
        <w:pStyle w:val="ListParagraph"/>
        <w:ind w:left="0"/>
      </w:pPr>
      <w:r w:rsidRPr="00123989">
        <w:t>Dorothy Koch</w:t>
      </w:r>
    </w:p>
    <w:p w:rsidR="00843183" w:rsidRDefault="00994114" w:rsidP="00604BE2">
      <w:pPr>
        <w:pStyle w:val="ListParagraph"/>
        <w:ind w:left="0"/>
      </w:pPr>
      <w:r w:rsidRPr="00123989">
        <w:t>Albert E. Leach</w:t>
      </w:r>
    </w:p>
    <w:p w:rsidR="00E03377" w:rsidRPr="00123989" w:rsidRDefault="00E03377" w:rsidP="00604BE2">
      <w:pPr>
        <w:pStyle w:val="ListParagraph"/>
        <w:ind w:left="0"/>
      </w:pPr>
      <w:r>
        <w:lastRenderedPageBreak/>
        <w:t>Timothy and Anne Lee</w:t>
      </w:r>
    </w:p>
    <w:p w:rsidR="00843183" w:rsidRDefault="00994114" w:rsidP="00604BE2">
      <w:pPr>
        <w:pStyle w:val="ListParagraph"/>
        <w:ind w:left="0"/>
      </w:pPr>
      <w:r w:rsidRPr="00123989">
        <w:t>Patricia A. Lovett</w:t>
      </w:r>
    </w:p>
    <w:p w:rsidR="003B1E67" w:rsidRDefault="003B1E67" w:rsidP="00604BE2">
      <w:pPr>
        <w:pStyle w:val="ListParagraph"/>
        <w:ind w:left="0"/>
      </w:pPr>
      <w:r>
        <w:t>Matilda Mitchell</w:t>
      </w:r>
    </w:p>
    <w:p w:rsidR="003B1E67" w:rsidRPr="00123989" w:rsidRDefault="003B1E67" w:rsidP="00604BE2">
      <w:pPr>
        <w:pStyle w:val="ListParagraph"/>
        <w:ind w:left="0"/>
      </w:pPr>
      <w:r>
        <w:t>Owen and Norma Morrison</w:t>
      </w:r>
    </w:p>
    <w:p w:rsidR="00843183" w:rsidRPr="00123989" w:rsidRDefault="00994114" w:rsidP="00604BE2">
      <w:pPr>
        <w:pStyle w:val="ListParagraph"/>
        <w:ind w:left="0"/>
      </w:pPr>
      <w:r w:rsidRPr="00123989">
        <w:t xml:space="preserve">Andrew </w:t>
      </w:r>
      <w:proofErr w:type="spellStart"/>
      <w:r w:rsidRPr="00123989">
        <w:t>Niss</w:t>
      </w:r>
      <w:proofErr w:type="spellEnd"/>
    </w:p>
    <w:p w:rsidR="00843183" w:rsidRPr="00123989" w:rsidRDefault="00994114" w:rsidP="00604BE2">
      <w:pPr>
        <w:pStyle w:val="ListParagraph"/>
        <w:ind w:left="0"/>
      </w:pPr>
      <w:r w:rsidRPr="00123989">
        <w:t>Rebecca Oliver</w:t>
      </w:r>
    </w:p>
    <w:p w:rsidR="00843183" w:rsidRPr="00123989" w:rsidRDefault="00994114" w:rsidP="00604BE2">
      <w:pPr>
        <w:pStyle w:val="ListParagraph"/>
        <w:ind w:left="0"/>
      </w:pPr>
      <w:r w:rsidRPr="00123989">
        <w:t>Charles Perrault and Anne Kelly</w:t>
      </w:r>
    </w:p>
    <w:p w:rsidR="00843183" w:rsidRPr="00123989" w:rsidRDefault="00994114" w:rsidP="00604BE2">
      <w:pPr>
        <w:pStyle w:val="ListParagraph"/>
        <w:ind w:left="0"/>
      </w:pPr>
      <w:r w:rsidRPr="00123989">
        <w:t xml:space="preserve">Peter </w:t>
      </w:r>
      <w:r w:rsidR="003B1E67">
        <w:t xml:space="preserve">and Julia </w:t>
      </w:r>
      <w:r w:rsidRPr="00123989">
        <w:t>Rust</w:t>
      </w:r>
    </w:p>
    <w:p w:rsidR="00843183" w:rsidRPr="00123989" w:rsidRDefault="00994114" w:rsidP="00604BE2">
      <w:pPr>
        <w:pStyle w:val="ListParagraph"/>
        <w:ind w:left="0"/>
      </w:pPr>
      <w:r w:rsidRPr="00123989">
        <w:t xml:space="preserve"> Joan I. Swenson</w:t>
      </w:r>
    </w:p>
    <w:p w:rsidR="007677C6" w:rsidRDefault="00994114" w:rsidP="00604BE2">
      <w:pPr>
        <w:pStyle w:val="ListParagraph"/>
        <w:ind w:left="0"/>
      </w:pPr>
      <w:r w:rsidRPr="00123989">
        <w:t xml:space="preserve">Brian </w:t>
      </w:r>
      <w:r w:rsidR="003B1E67">
        <w:t xml:space="preserve">and Alicia </w:t>
      </w:r>
      <w:proofErr w:type="spellStart"/>
      <w:r w:rsidRPr="00123989">
        <w:t>Verney</w:t>
      </w:r>
      <w:proofErr w:type="spellEnd"/>
    </w:p>
    <w:p w:rsidR="007677C6" w:rsidRPr="00123989" w:rsidRDefault="003B1E67" w:rsidP="00F45814">
      <w:pPr>
        <w:pStyle w:val="ListParagraph"/>
        <w:ind w:left="0"/>
      </w:pPr>
      <w:r>
        <w:t>Bradley Walters</w:t>
      </w:r>
    </w:p>
    <w:p w:rsidR="00AD0453" w:rsidRDefault="00AD0453"/>
    <w:sectPr w:rsidR="00AD0453" w:rsidSect="00AD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123989"/>
    <w:rsid w:val="00123989"/>
    <w:rsid w:val="00196113"/>
    <w:rsid w:val="002D71C2"/>
    <w:rsid w:val="003B1E67"/>
    <w:rsid w:val="00400941"/>
    <w:rsid w:val="00476DA3"/>
    <w:rsid w:val="00575E82"/>
    <w:rsid w:val="00604BE2"/>
    <w:rsid w:val="00605134"/>
    <w:rsid w:val="00655AB4"/>
    <w:rsid w:val="006C29C3"/>
    <w:rsid w:val="00925569"/>
    <w:rsid w:val="00994114"/>
    <w:rsid w:val="00A27BA9"/>
    <w:rsid w:val="00A964A9"/>
    <w:rsid w:val="00AD0453"/>
    <w:rsid w:val="00BE4F0D"/>
    <w:rsid w:val="00C76DD7"/>
    <w:rsid w:val="00D14CF4"/>
    <w:rsid w:val="00DC1A8F"/>
    <w:rsid w:val="00DC6734"/>
    <w:rsid w:val="00DD0F13"/>
    <w:rsid w:val="00E03377"/>
    <w:rsid w:val="00F45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569"/>
    <w:pPr>
      <w:spacing w:after="0" w:line="240" w:lineRule="auto"/>
    </w:pPr>
  </w:style>
  <w:style w:type="paragraph" w:styleId="BalloonText">
    <w:name w:val="Balloon Text"/>
    <w:basedOn w:val="Normal"/>
    <w:link w:val="BalloonTextChar"/>
    <w:uiPriority w:val="99"/>
    <w:semiHidden/>
    <w:unhideWhenUsed/>
    <w:rsid w:val="00123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989"/>
    <w:rPr>
      <w:rFonts w:ascii="Tahoma" w:hAnsi="Tahoma" w:cs="Tahoma"/>
      <w:sz w:val="16"/>
      <w:szCs w:val="16"/>
    </w:rPr>
  </w:style>
  <w:style w:type="character" w:styleId="PlaceholderText">
    <w:name w:val="Placeholder Text"/>
    <w:basedOn w:val="DefaultParagraphFont"/>
    <w:uiPriority w:val="99"/>
    <w:semiHidden/>
    <w:qFormat/>
    <w:rsid w:val="002D71C2"/>
    <w:rPr>
      <w:color w:val="808080"/>
    </w:rPr>
  </w:style>
  <w:style w:type="paragraph" w:styleId="ListParagraph">
    <w:name w:val="List Paragraph"/>
    <w:basedOn w:val="Normal"/>
    <w:uiPriority w:val="34"/>
    <w:qFormat/>
    <w:rsid w:val="00604B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Total Philanthropic Gifts from Our Community </a:t>
            </a:r>
          </a:p>
        </c:rich>
      </c:tx>
    </c:title>
    <c:plotArea>
      <c:layout/>
      <c:barChart>
        <c:barDir val="col"/>
        <c:grouping val="clustered"/>
        <c:ser>
          <c:idx val="0"/>
          <c:order val="0"/>
          <c:tx>
            <c:strRef>
              <c:f>Sheet1!$B$1</c:f>
              <c:strCache>
                <c:ptCount val="1"/>
                <c:pt idx="0">
                  <c:v>Restricted</c:v>
                </c:pt>
              </c:strCache>
            </c:strRef>
          </c:tx>
          <c:cat>
            <c:numRef>
              <c:f>Sheet1!$A$2:$A$12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Sheet1!$B$2:$B$12</c:f>
              <c:numCache>
                <c:formatCode>General</c:formatCode>
                <c:ptCount val="11"/>
                <c:pt idx="0" formatCode="#,##0">
                  <c:v>100000</c:v>
                </c:pt>
                <c:pt idx="1">
                  <c:v>110000</c:v>
                </c:pt>
                <c:pt idx="2">
                  <c:v>213000</c:v>
                </c:pt>
                <c:pt idx="3">
                  <c:v>184000</c:v>
                </c:pt>
                <c:pt idx="4">
                  <c:v>125000</c:v>
                </c:pt>
                <c:pt idx="5">
                  <c:v>380000</c:v>
                </c:pt>
                <c:pt idx="6" formatCode="#,##0">
                  <c:v>420000</c:v>
                </c:pt>
                <c:pt idx="7" formatCode="#,##0">
                  <c:v>698000</c:v>
                </c:pt>
                <c:pt idx="8" formatCode="#,##0">
                  <c:v>583000</c:v>
                </c:pt>
                <c:pt idx="9" formatCode="#,##0">
                  <c:v>774000</c:v>
                </c:pt>
                <c:pt idx="10" formatCode="#,##0">
                  <c:v>950000</c:v>
                </c:pt>
              </c:numCache>
            </c:numRef>
          </c:val>
        </c:ser>
        <c:ser>
          <c:idx val="1"/>
          <c:order val="1"/>
          <c:tx>
            <c:strRef>
              <c:f>Sheet1!$C$1</c:f>
              <c:strCache>
                <c:ptCount val="1"/>
                <c:pt idx="0">
                  <c:v>Unrestricted</c:v>
                </c:pt>
              </c:strCache>
            </c:strRef>
          </c:tx>
          <c:spPr>
            <a:solidFill>
              <a:schemeClr val="accent3"/>
            </a:solidFill>
          </c:spPr>
          <c:cat>
            <c:numRef>
              <c:f>Sheet1!$A$2:$A$12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Sheet1!$C$2:$C$12</c:f>
              <c:numCache>
                <c:formatCode>General</c:formatCode>
                <c:ptCount val="11"/>
                <c:pt idx="0" formatCode="#,##0">
                  <c:v>120000</c:v>
                </c:pt>
                <c:pt idx="1">
                  <c:v>270000</c:v>
                </c:pt>
                <c:pt idx="2">
                  <c:v>287000</c:v>
                </c:pt>
                <c:pt idx="3">
                  <c:v>190000</c:v>
                </c:pt>
                <c:pt idx="4">
                  <c:v>243000</c:v>
                </c:pt>
                <c:pt idx="5">
                  <c:v>270000</c:v>
                </c:pt>
                <c:pt idx="6">
                  <c:v>487000</c:v>
                </c:pt>
                <c:pt idx="7" formatCode="#,##0">
                  <c:v>772000</c:v>
                </c:pt>
                <c:pt idx="8" formatCode="#,##0">
                  <c:v>424000</c:v>
                </c:pt>
                <c:pt idx="9" formatCode="#,##0">
                  <c:v>698000</c:v>
                </c:pt>
                <c:pt idx="10" formatCode="#,##0">
                  <c:v>1125000</c:v>
                </c:pt>
              </c:numCache>
            </c:numRef>
          </c:val>
        </c:ser>
        <c:axId val="161629696"/>
        <c:axId val="161631232"/>
      </c:barChart>
      <c:catAx>
        <c:axId val="161629696"/>
        <c:scaling>
          <c:orientation val="minMax"/>
        </c:scaling>
        <c:axPos val="b"/>
        <c:numFmt formatCode="General" sourceLinked="1"/>
        <c:tickLblPos val="nextTo"/>
        <c:crossAx val="161631232"/>
        <c:crosses val="autoZero"/>
        <c:auto val="1"/>
        <c:lblAlgn val="ctr"/>
        <c:lblOffset val="100"/>
      </c:catAx>
      <c:valAx>
        <c:axId val="161631232"/>
        <c:scaling>
          <c:orientation val="minMax"/>
        </c:scaling>
        <c:axPos val="l"/>
        <c:majorGridlines/>
        <c:numFmt formatCode="&quot;$&quot;#,##0" sourceLinked="0"/>
        <c:tickLblPos val="nextTo"/>
        <c:crossAx val="161629696"/>
        <c:crosses val="autoZero"/>
        <c:crossBetween val="between"/>
      </c:valAx>
      <c:spPr>
        <a:noFill/>
        <a:ln w="12700" cap="flat" cmpd="sng" algn="ctr">
          <a:noFill/>
          <a:prstDash val="solid"/>
        </a:ln>
        <a:effectLst>
          <a:outerShdw blurRad="50800" dist="25000" dir="5400000" rotWithShape="0">
            <a:srgbClr val="000000">
              <a:alpha val="40000"/>
            </a:srgbClr>
          </a:outerShdw>
        </a:effectLst>
      </c:spPr>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Ron Dawson</cp:lastModifiedBy>
  <cp:revision>17</cp:revision>
  <dcterms:created xsi:type="dcterms:W3CDTF">2007-03-31T17:59:00Z</dcterms:created>
  <dcterms:modified xsi:type="dcterms:W3CDTF">2007-04-03T04:21:00Z</dcterms:modified>
</cp:coreProperties>
</file>