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Lessons Learnt from Old Analysis</w:t>
      </w:r>
    </w:p>
    <w:p>
      <w:r>
        <w:t>From the old Gibbs Sampler implementation (in gibbs_fixed), we learnt several critical lessons:</w:t>
      </w:r>
    </w:p>
    <w:p>
      <w:pPr>
        <w:pStyle w:val="ListBullet"/>
      </w:pPr>
      <w:r>
        <w:t>1. MCMC Mechanics and Block Updates: Treating highly correlated latent variables (like the hidden state vector S) as independent updates causes the Gibbs sampler to freeze due to overwhelming autocorrelation. Implementing the FFBS algorithm demonstrated how block-updating resolves this geometry issue, drastically improving the Effective Sample Size (ESS).</w:t>
      </w:r>
    </w:p>
    <w:p>
      <w:pPr>
        <w:pStyle w:val="ListBullet"/>
      </w:pPr>
      <w:r>
        <w:t>2. Convergence Diagnostics Implementation: Moving beyond qualitative trace inspections, we learned to compute and interpret the Gelman-Rubin statistic (R-hat) and ESS. Observing R-hat converge to 1.0 across multiple chains provided rigorous, quantitative assurance that the target distribution was reached.</w:t>
      </w:r>
    </w:p>
    <w:p>
      <w:pPr>
        <w:pStyle w:val="ListBullet"/>
      </w:pPr>
      <w:r>
        <w:t>3. Addressing Model Identifiability: Encountering and mitigating the "label-switching" problem reinforced the necessity of structured initialization and constraints in finite mixture models.</w:t>
      </w:r>
    </w:p>
    <w:p>
      <w:pPr>
        <w:pStyle w:val="ListBullet"/>
      </w:pPr>
      <w:r>
        <w:t>4. Bayesian Prior Intention: We gained insight into the role of informative vs. diffuse priors. We deliberately chose an informative Beta(8,2) prior for the transition probabilities to encode the structural economic belief that financial regimes are persistent.</w:t>
      </w:r>
    </w:p>
    <w:p>
      <w:pPr>
        <w:pStyle w:val="ListBullet"/>
      </w:pPr>
      <w:r>
        <w:t>5. Structural Discoveries (Economic): The Gibbs algorithm quantified that the US equity index snaps into crashes and rebounds rapidly (~10.6 weeks expected bear duration), whereas the Indian equity index suffers from significantly longer, more sustained market drag (~22 weeks expected bear duration).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