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B08D57"/>
          <w:spacing w:val="20"/>
          <w:sz w:val="22"/>
          <w:szCs w:val="22"/>
        </w:rPr>
        <w:t xml:space="preserve">MACHINE LEARNING PROJECT PROPOSAL</w:t>
      </w:r>
    </w:p>
    <w:p>
      <w:pPr>
        <w:spacing w:after="300"/>
        <w:jc w:val="center"/>
      </w:pPr>
      <w:r>
        <w:rPr>
          <w:b/>
          <w:bCs/>
          <w:color w:val="1B2A4A"/>
          <w:sz w:val="40"/>
          <w:szCs w:val="40"/>
        </w:rPr>
        <w:t xml:space="preserve">Contextual Bandit Hybrid Bit-Semantic</w:t>
      </w:r>
    </w:p>
    <w:p>
      <w:pPr>
        <w:spacing w:after="420"/>
        <w:jc w:val="center"/>
      </w:pPr>
      <w:r>
        <w:rPr>
          <w:b/>
          <w:bCs/>
          <w:color w:val="1B2A4A"/>
          <w:sz w:val="40"/>
          <w:szCs w:val="40"/>
        </w:rPr>
        <w:t xml:space="preserve">Transmission Selection for UAVs</w:t>
      </w:r>
    </w:p>
    <w:p>
      <w:pPr>
        <w:spacing w:after="900"/>
        <w:jc w:val="center"/>
      </w:pPr>
      <w:r>
        <w:rPr>
          <w:i/>
          <w:iCs/>
          <w:color w:val="3E5C89"/>
          <w:sz w:val="23"/>
          <w:szCs w:val="23"/>
        </w:rPr>
        <w:t xml:space="preserve">Adaptive, context-aware switching between conventional bit transmission, semantic transmission, and compressed semantic transmission using contextual bandits, with a Deep Q-Network baseline</w:t>
      </w:r>
    </w:p>
    <w:p>
      <w:pPr>
        <w:pBdr>
          <w:top w:val="single" w:color="B08D57" w:sz="6" w:space="8"/>
        </w:pBdr>
        <w:spacing w:after="0" w:before="1400"/>
      </w:pPr>
    </w:p>
    <w:p>
      <w:pPr>
        <w:spacing w:after="60" w:before="260"/>
        <w:jc w:val="center"/>
      </w:pPr>
      <w:r>
        <w:rPr>
          <w:b/>
          <w:bCs/>
          <w:color w:val="222222"/>
          <w:sz w:val="24"/>
          <w:szCs w:val="24"/>
        </w:rPr>
        <w:t xml:space="preserve">Prepared by: Likhita</w:t>
      </w:r>
    </w:p>
    <w:p>
      <w:pPr>
        <w:spacing w:after="60"/>
        <w:jc w:val="center"/>
      </w:pPr>
      <w:r>
        <w:rPr>
          <w:color w:val="5B6472"/>
          <w:sz w:val="22"/>
          <w:szCs w:val="22"/>
        </w:rPr>
        <w:t xml:space="preserve">Course: Machine Learning with Python</w:t>
      </w:r>
    </w:p>
    <w:p>
      <w:pPr>
        <w:spacing w:after="0"/>
        <w:jc w:val="center"/>
      </w:pPr>
      <w:r>
        <w:rPr>
          <w:color w:val="5B6472"/>
          <w:sz w:val="22"/>
          <w:szCs w:val="22"/>
        </w:rPr>
        <w:t xml:space="preserve">August 2026</w:t>
      </w:r>
    </w:p>
    <w:p>
      <w:pPr>
        <w:sectPr>
          <w:pgSz w:w="11906" w:h="16838" w:orient="portrait"/>
          <w:pgMar w:top="1000" w:right="1100" w:bottom="1000" w:left="1100" w:header="708" w:footer="708" w:gutter="0"/>
          <w:pgNumType/>
          <w:docGrid w:linePitch="360"/>
        </w:sectPr>
      </w:pPr>
    </w:p>
    <w:p>
      <w:pPr>
        <w:pStyle w:val="Heading1"/>
        <w:spacing w:after="320"/>
      </w:pPr>
      <w:r>
        <w:rPr>
          <w:b/>
          <w:bCs/>
          <w:color w:val="1B2A4A"/>
          <w:sz w:val="30"/>
          <w:szCs w:val="30"/>
        </w:rPr>
        <w:t xml:space="preserve">Contents</w:t>
      </w:r>
    </w:p>
    <w:p>
      <w:pPr>
        <w:tabs>
          <w:tab w:val="right" w:pos="9026" w:leader="dot"/>
        </w:tabs>
        <w:spacing w:after="140"/>
        <w:ind w:left="0"/>
      </w:pPr>
      <w:r>
        <w:rPr>
          <w:b/>
          <w:bCs/>
          <w:color w:val="1B2A4A"/>
          <w:sz w:val="22"/>
          <w:szCs w:val="22"/>
        </w:rPr>
        <w:t xml:space="preserve">1.   Problem Statement</w:t>
      </w:r>
      <w:r>
        <w:rPr>
          <w:b/>
          <w:bCs/>
          <w:color w:val="1B2A4A"/>
          <w:sz w:val="22"/>
          <w:szCs w:val="22"/>
        </w:rPr>
        <w:tab/>
        <w:t xml:space="preserve">3</w:t>
      </w:r>
    </w:p>
    <w:p>
      <w:pPr>
        <w:tabs>
          <w:tab w:val="right" w:pos="9026" w:leader="dot"/>
        </w:tabs>
        <w:spacing w:after="140"/>
        <w:ind w:left="0"/>
      </w:pPr>
      <w:r>
        <w:rPr>
          <w:b/>
          <w:bCs/>
          <w:color w:val="1B2A4A"/>
          <w:sz w:val="22"/>
          <w:szCs w:val="22"/>
        </w:rPr>
        <w:t xml:space="preserve">2.   Why This Problem Matters</w:t>
      </w:r>
      <w:r>
        <w:rPr>
          <w:b/>
          <w:bCs/>
          <w:color w:val="1B2A4A"/>
          <w:sz w:val="22"/>
          <w:szCs w:val="22"/>
        </w:rPr>
        <w:tab/>
        <w:t xml:space="preserve">4</w:t>
      </w:r>
    </w:p>
    <w:p>
      <w:pPr>
        <w:tabs>
          <w:tab w:val="right" w:pos="9026" w:leader="dot"/>
        </w:tabs>
        <w:spacing w:after="140"/>
        <w:ind w:left="0"/>
      </w:pPr>
      <w:r>
        <w:rPr>
          <w:b/>
          <w:bCs/>
          <w:color w:val="1B2A4A"/>
          <w:sz w:val="22"/>
          <w:szCs w:val="22"/>
        </w:rPr>
        <w:t xml:space="preserve">3.   Why We Chose This Problem</w:t>
      </w:r>
      <w:r>
        <w:rPr>
          <w:b/>
          <w:bCs/>
          <w:color w:val="1B2A4A"/>
          <w:sz w:val="22"/>
          <w:szCs w:val="22"/>
        </w:rPr>
        <w:tab/>
        <w:t xml:space="preserve">4</w:t>
      </w:r>
    </w:p>
    <w:p>
      <w:pPr>
        <w:tabs>
          <w:tab w:val="right" w:pos="9026" w:leader="dot"/>
        </w:tabs>
        <w:spacing w:after="100"/>
        <w:ind w:left="360"/>
      </w:pPr>
      <w:r>
        <w:rPr>
          <w:b w:val="false"/>
          <w:bCs w:val="false"/>
          <w:color w:val="222222"/>
          <w:sz w:val="20"/>
          <w:szCs w:val="20"/>
        </w:rPr>
        <w:t xml:space="preserve">3.1  Positioning Relative to Existing Work</w:t>
      </w:r>
      <w:r>
        <w:rPr>
          <w:b w:val="false"/>
          <w:bCs w:val="false"/>
          <w:color w:val="222222"/>
          <w:sz w:val="20"/>
          <w:szCs w:val="20"/>
        </w:rPr>
        <w:tab/>
        <w:t xml:space="preserve">5</w:t>
      </w:r>
    </w:p>
    <w:p>
      <w:pPr>
        <w:tabs>
          <w:tab w:val="right" w:pos="9026" w:leader="dot"/>
        </w:tabs>
        <w:spacing w:after="140"/>
        <w:ind w:left="0"/>
      </w:pPr>
      <w:r>
        <w:rPr>
          <w:b/>
          <w:bCs/>
          <w:color w:val="1B2A4A"/>
          <w:sz w:val="22"/>
          <w:szCs w:val="22"/>
        </w:rPr>
        <w:t xml:space="preserve">4.   Proposed Methodology</w:t>
      </w:r>
      <w:r>
        <w:rPr>
          <w:b/>
          <w:bCs/>
          <w:color w:val="1B2A4A"/>
          <w:sz w:val="22"/>
          <w:szCs w:val="22"/>
        </w:rPr>
        <w:tab/>
        <w:t xml:space="preserve">5</w:t>
      </w:r>
    </w:p>
    <w:p>
      <w:pPr>
        <w:tabs>
          <w:tab w:val="right" w:pos="9026" w:leader="dot"/>
        </w:tabs>
        <w:spacing w:after="100"/>
        <w:ind w:left="360"/>
      </w:pPr>
      <w:r>
        <w:rPr>
          <w:b w:val="false"/>
          <w:bCs w:val="false"/>
          <w:color w:val="222222"/>
          <w:sz w:val="20"/>
          <w:szCs w:val="20"/>
        </w:rPr>
        <w:t xml:space="preserve">4.1  System Model and Problem Formulation</w:t>
      </w:r>
      <w:r>
        <w:rPr>
          <w:b w:val="false"/>
          <w:bCs w:val="false"/>
          <w:color w:val="222222"/>
          <w:sz w:val="20"/>
          <w:szCs w:val="20"/>
        </w:rPr>
        <w:tab/>
        <w:t xml:space="preserve">5</w:t>
      </w:r>
    </w:p>
    <w:p>
      <w:pPr>
        <w:tabs>
          <w:tab w:val="right" w:pos="9026" w:leader="dot"/>
        </w:tabs>
        <w:spacing w:after="100"/>
        <w:ind w:left="360"/>
      </w:pPr>
      <w:r>
        <w:rPr>
          <w:b w:val="false"/>
          <w:bCs w:val="false"/>
          <w:color w:val="222222"/>
          <w:sz w:val="20"/>
          <w:szCs w:val="20"/>
        </w:rPr>
        <w:t xml:space="preserve">4.2  Context, Action, and Reward Design</w:t>
      </w:r>
      <w:r>
        <w:rPr>
          <w:b w:val="false"/>
          <w:bCs w:val="false"/>
          <w:color w:val="222222"/>
          <w:sz w:val="20"/>
          <w:szCs w:val="20"/>
        </w:rPr>
        <w:tab/>
        <w:t xml:space="preserve">6</w:t>
      </w:r>
    </w:p>
    <w:p>
      <w:pPr>
        <w:tabs>
          <w:tab w:val="right" w:pos="9026" w:leader="dot"/>
        </w:tabs>
        <w:spacing w:after="100"/>
        <w:ind w:left="360"/>
      </w:pPr>
      <w:r>
        <w:rPr>
          <w:b w:val="false"/>
          <w:bCs w:val="false"/>
          <w:color w:val="222222"/>
          <w:sz w:val="20"/>
          <w:szCs w:val="20"/>
        </w:rPr>
        <w:t xml:space="preserve">4.3  Learning Algorithms</w:t>
      </w:r>
      <w:r>
        <w:rPr>
          <w:b w:val="false"/>
          <w:bCs w:val="false"/>
          <w:color w:val="222222"/>
          <w:sz w:val="20"/>
          <w:szCs w:val="20"/>
        </w:rPr>
        <w:tab/>
        <w:t xml:space="preserve">7</w:t>
      </w:r>
    </w:p>
    <w:p>
      <w:pPr>
        <w:tabs>
          <w:tab w:val="right" w:pos="9026" w:leader="dot"/>
        </w:tabs>
        <w:spacing w:after="100"/>
        <w:ind w:left="360"/>
      </w:pPr>
      <w:r>
        <w:rPr>
          <w:b w:val="false"/>
          <w:bCs w:val="false"/>
          <w:color w:val="222222"/>
          <w:sz w:val="20"/>
          <w:szCs w:val="20"/>
        </w:rPr>
        <w:t xml:space="preserve">4.4  Simulation Environment and Training Procedure</w:t>
      </w:r>
      <w:r>
        <w:rPr>
          <w:b w:val="false"/>
          <w:bCs w:val="false"/>
          <w:color w:val="222222"/>
          <w:sz w:val="20"/>
          <w:szCs w:val="20"/>
        </w:rPr>
        <w:tab/>
        <w:t xml:space="preserve">7</w:t>
      </w:r>
    </w:p>
    <w:p>
      <w:pPr>
        <w:tabs>
          <w:tab w:val="right" w:pos="9026" w:leader="dot"/>
        </w:tabs>
        <w:spacing w:after="100"/>
        <w:ind w:left="360"/>
      </w:pPr>
      <w:r>
        <w:rPr>
          <w:b w:val="false"/>
          <w:bCs w:val="false"/>
          <w:color w:val="222222"/>
          <w:sz w:val="20"/>
          <w:szCs w:val="20"/>
        </w:rPr>
        <w:t xml:space="preserve">4.5  Software Requirements and Execution Environment</w:t>
      </w:r>
      <w:r>
        <w:rPr>
          <w:b w:val="false"/>
          <w:bCs w:val="false"/>
          <w:color w:val="222222"/>
          <w:sz w:val="20"/>
          <w:szCs w:val="20"/>
        </w:rPr>
        <w:tab/>
        <w:t xml:space="preserve">8</w:t>
      </w:r>
    </w:p>
    <w:p>
      <w:pPr>
        <w:tabs>
          <w:tab w:val="right" w:pos="9026" w:leader="dot"/>
        </w:tabs>
        <w:spacing w:after="140"/>
        <w:ind w:left="0"/>
      </w:pPr>
      <w:r>
        <w:rPr>
          <w:b/>
          <w:bCs/>
          <w:color w:val="1B2A4A"/>
          <w:sz w:val="22"/>
          <w:szCs w:val="22"/>
        </w:rPr>
        <w:t xml:space="preserve">5.   Evaluation Plan</w:t>
      </w:r>
      <w:r>
        <w:rPr>
          <w:b/>
          <w:bCs/>
          <w:color w:val="1B2A4A"/>
          <w:sz w:val="22"/>
          <w:szCs w:val="22"/>
        </w:rPr>
        <w:tab/>
        <w:t xml:space="preserve">9</w:t>
      </w:r>
    </w:p>
    <w:p>
      <w:pPr>
        <w:tabs>
          <w:tab w:val="right" w:pos="9026" w:leader="dot"/>
        </w:tabs>
        <w:spacing w:after="100"/>
        <w:ind w:left="360"/>
      </w:pPr>
      <w:r>
        <w:rPr>
          <w:b w:val="false"/>
          <w:bCs w:val="false"/>
          <w:color w:val="222222"/>
          <w:sz w:val="20"/>
          <w:szCs w:val="20"/>
        </w:rPr>
        <w:t xml:space="preserve">5.1  Metrics</w:t>
      </w:r>
      <w:r>
        <w:rPr>
          <w:b w:val="false"/>
          <w:bCs w:val="false"/>
          <w:color w:val="222222"/>
          <w:sz w:val="20"/>
          <w:szCs w:val="20"/>
        </w:rPr>
        <w:tab/>
        <w:t xml:space="preserve">9</w:t>
      </w:r>
    </w:p>
    <w:p>
      <w:pPr>
        <w:tabs>
          <w:tab w:val="right" w:pos="9026" w:leader="dot"/>
        </w:tabs>
        <w:spacing w:after="100"/>
        <w:ind w:left="360"/>
      </w:pPr>
      <w:r>
        <w:rPr>
          <w:b w:val="false"/>
          <w:bCs w:val="false"/>
          <w:color w:val="222222"/>
          <w:sz w:val="20"/>
          <w:szCs w:val="20"/>
        </w:rPr>
        <w:t xml:space="preserve">5.2  Baselines and Comparisons</w:t>
      </w:r>
      <w:r>
        <w:rPr>
          <w:b w:val="false"/>
          <w:bCs w:val="false"/>
          <w:color w:val="222222"/>
          <w:sz w:val="20"/>
          <w:szCs w:val="20"/>
        </w:rPr>
        <w:tab/>
        <w:t xml:space="preserve">9</w:t>
      </w:r>
    </w:p>
    <w:p>
      <w:pPr>
        <w:tabs>
          <w:tab w:val="right" w:pos="9026" w:leader="dot"/>
        </w:tabs>
        <w:spacing w:after="100"/>
        <w:ind w:left="360"/>
      </w:pPr>
      <w:r>
        <w:rPr>
          <w:b w:val="false"/>
          <w:bCs w:val="false"/>
          <w:color w:val="222222"/>
          <w:sz w:val="20"/>
          <w:szCs w:val="20"/>
        </w:rPr>
        <w:t xml:space="preserve">5.3  Ablation Studies</w:t>
      </w:r>
      <w:r>
        <w:rPr>
          <w:b w:val="false"/>
          <w:bCs w:val="false"/>
          <w:color w:val="222222"/>
          <w:sz w:val="20"/>
          <w:szCs w:val="20"/>
        </w:rPr>
        <w:tab/>
        <w:t xml:space="preserve">9</w:t>
      </w:r>
    </w:p>
    <w:p>
      <w:pPr>
        <w:tabs>
          <w:tab w:val="right" w:pos="9026" w:leader="dot"/>
        </w:tabs>
        <w:spacing w:after="100"/>
        <w:ind w:left="360"/>
      </w:pPr>
      <w:r>
        <w:rPr>
          <w:b w:val="false"/>
          <w:bCs w:val="false"/>
          <w:color w:val="222222"/>
          <w:sz w:val="20"/>
          <w:szCs w:val="20"/>
        </w:rPr>
        <w:t xml:space="preserve">5.4  Expected Results</w:t>
      </w:r>
      <w:r>
        <w:rPr>
          <w:b w:val="false"/>
          <w:bCs w:val="false"/>
          <w:color w:val="222222"/>
          <w:sz w:val="20"/>
          <w:szCs w:val="20"/>
        </w:rPr>
        <w:tab/>
        <w:t xml:space="preserve">10</w:t>
      </w:r>
    </w:p>
    <w:p>
      <w:pPr>
        <w:tabs>
          <w:tab w:val="right" w:pos="9026" w:leader="dot"/>
        </w:tabs>
        <w:spacing w:after="140"/>
        <w:ind w:left="0"/>
      </w:pPr>
      <w:r>
        <w:rPr>
          <w:b/>
          <w:bCs/>
          <w:color w:val="1B2A4A"/>
          <w:sz w:val="22"/>
          <w:szCs w:val="22"/>
        </w:rPr>
        <w:t xml:space="preserve">6.   Summary</w:t>
      </w:r>
      <w:r>
        <w:rPr>
          <w:b/>
          <w:bCs/>
          <w:color w:val="1B2A4A"/>
          <w:sz w:val="22"/>
          <w:szCs w:val="22"/>
        </w:rPr>
        <w:tab/>
        <w:t xml:space="preserve">10</w:t>
      </w:r>
    </w:p>
    <w:p>
      <w:pPr>
        <w:tabs>
          <w:tab w:val="right" w:pos="9026" w:leader="dot"/>
        </w:tabs>
        <w:spacing w:after="140"/>
        <w:ind w:left="0"/>
      </w:pPr>
      <w:r>
        <w:rPr>
          <w:b/>
          <w:bCs/>
          <w:color w:val="1B2A4A"/>
          <w:sz w:val="22"/>
          <w:szCs w:val="22"/>
        </w:rPr>
        <w:t xml:space="preserve">      References</w:t>
      </w:r>
      <w:r>
        <w:rPr>
          <w:b/>
          <w:bCs/>
          <w:color w:val="1B2A4A"/>
          <w:sz w:val="22"/>
          <w:szCs w:val="22"/>
        </w:rPr>
        <w:tab/>
        <w:t xml:space="preserve">11</w:t>
      </w:r>
    </w:p>
    <w:p>
      <w:r>
        <w:br w:type="page"/>
      </w:r>
    </w:p>
    <w:p>
      <w:pPr>
        <w:sectPr>
          <w:pgSz w:w="11906" w:h="16838" w:orient="portrait"/>
          <w:pgMar w:top="1100" w:right="1100" w:bottom="1100" w:left="1100" w:header="708" w:footer="708" w:gutter="0"/>
          <w:pgNumType/>
          <w:docGrid w:linePitch="360"/>
        </w:sectPr>
      </w:pPr>
    </w:p>
    <w:p>
      <w:pPr>
        <w:pStyle w:val="Heading1"/>
        <w:pBdr>
          <w:bottom w:val="single" w:color="B08D57" w:sz="8" w:space="4"/>
        </w:pBdr>
        <w:spacing w:after="180" w:before="380"/>
      </w:pPr>
      <w:r>
        <w:rPr>
          <w:b/>
          <w:bCs/>
          <w:color w:val="1B2A4A"/>
          <w:sz w:val="30"/>
          <w:szCs w:val="30"/>
        </w:rPr>
        <w:t xml:space="preserve">1.  Problem Statement</w:t>
      </w:r>
    </w:p>
    <w:p>
      <w:pPr>
        <w:spacing w:after="160" w:line="300"/>
        <w:jc w:val="both"/>
      </w:pPr>
      <w:r>
        <w:rPr>
          <w:color w:val="222222"/>
          <w:sz w:val="22"/>
          <w:szCs w:val="22"/>
        </w:rPr>
        <w:t xml:space="preserve">Unmanned Aerial Vehicle (UAV)-assisted wireless networks are increasingly deployed for time-critical, resource-constrained applications such as disaster response, precision agriculture, industrial inspection, and search-and-rescue. These networks must move highly heterogeneous data — sensor telemetry, camera imagery, and control commands — over air-to-ground links that are inherently unstable, since UAV mobility, altitude, and obstacles cause the channel to swing between clear line-of-sight and deep fades within seconds.</w:t>
      </w:r>
    </w:p>
    <w:p>
      <w:pPr>
        <w:spacing w:after="160" w:line="300"/>
        <w:jc w:val="both"/>
      </w:pPr>
      <w:r>
        <w:rPr>
          <w:color w:val="222222"/>
          <w:sz w:val="22"/>
          <w:szCs w:val="22"/>
        </w:rPr>
        <w:t xml:space="preserve">Classical communication systems treat every bit as equally important and aim to reconstruct the transmitted stream exactly at the receiver. This bit-exact guarantee is essential for control commands and safety alerts, but it is a wasteful use of scarce bandwidth and battery for content whose meaning survives approximate reconstruction — for example, a terrain image that is only being used to confirm whether an obstacle is present.</w:t>
      </w:r>
    </w:p>
    <w:p>
      <w:pPr>
        <w:spacing w:after="160" w:line="300"/>
        <w:jc w:val="both"/>
      </w:pPr>
      <w:r>
        <w:rPr>
          <w:color w:val="222222"/>
          <w:sz w:val="22"/>
          <w:szCs w:val="22"/>
        </w:rPr>
        <w:t xml:space="preserve">Semantic communication, widely regarded as one of the defining shifts of 6G networks, addresses this by using deep-learning encoder–decoder pairs to transmit only the task-relevant meaning of the content, discarding redundancy that does not affect task outcomes. It can shrink transmitted data drastically, but it is not universally superior: it adds on-board neural inference latency, drains battery on compute, and its output quality degrades unpredictably — rather than failing cleanly — under poor channel conditions. Compressed semantic transmission pushes this further by compressing the semantic representation itself, buying additional latency and bandwidth savings at the cost of further quality loss, and is chiefly attractive when the channel is very poor or the task is extremely urgent.</w:t>
      </w:r>
    </w:p>
    <w:p>
      <w:pPr>
        <w:spacing w:after="160" w:line="300"/>
        <w:jc w:val="both"/>
      </w:pPr>
      <w:r>
        <w:rPr>
          <w:b/>
          <w:bCs/>
          <w:color w:val="222222"/>
          <w:sz w:val="22"/>
          <w:szCs w:val="22"/>
        </w:rPr>
        <w:t xml:space="preserve">The three candidate transmission modes considered in this project are:</w:t>
      </w:r>
    </w:p>
    <w:p>
      <w:pPr>
        <w:pStyle w:val="ListParagraph"/>
        <w:numPr>
          <w:ilvl w:val="0"/>
          <w:numId w:val="2"/>
        </w:numPr>
        <w:spacing w:after="100" w:line="290"/>
      </w:pPr>
      <w:r>
        <w:rPr>
          <w:color w:val="222222"/>
          <w:sz w:val="22"/>
          <w:szCs w:val="22"/>
        </w:rPr>
        <w:t xml:space="preserve">Conventional bit transmission — exact, bit-for-bit delivery of the source data.</w:t>
      </w:r>
    </w:p>
    <w:p>
      <w:pPr>
        <w:pStyle w:val="ListParagraph"/>
        <w:numPr>
          <w:ilvl w:val="0"/>
          <w:numId w:val="2"/>
        </w:numPr>
        <w:spacing w:after="100" w:line="290"/>
      </w:pPr>
      <w:r>
        <w:rPr>
          <w:color w:val="222222"/>
          <w:sz w:val="22"/>
          <w:szCs w:val="22"/>
        </w:rPr>
        <w:t xml:space="preserve">Semantic transmission — a learned encoder extracts and sends only task-relevant meaning; the receiver reconstructs an approximation sufficient for the task.</w:t>
      </w:r>
    </w:p>
    <w:p>
      <w:pPr>
        <w:pStyle w:val="ListParagraph"/>
        <w:numPr>
          <w:ilvl w:val="0"/>
          <w:numId w:val="2"/>
        </w:numPr>
        <w:spacing w:after="100" w:line="290"/>
      </w:pPr>
      <w:r>
        <w:rPr>
          <w:color w:val="222222"/>
          <w:sz w:val="22"/>
          <w:szCs w:val="22"/>
        </w:rPr>
        <w:t xml:space="preserve">Compressed semantic transmission — the semantic representation is further compressed, trading additional fidelity for lower latency, lower bandwidth, and lower energy use.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1750"/>
        <w:gridCol w:w="1750"/>
        <w:gridCol w:w="2050"/>
        <w:gridCol w:w="2200"/>
      </w:tblGrid>
      <w:tr>
        <w:trPr>
          <w:tblHeader/>
        </w:trPr>
        <w:tc>
          <w:tcPr>
            <w:tcW w:type="dxa" w:w="1750"/>
            <w:shd w:fill="1B2A4A" w:color="auto" w:val="clear"/>
            <w:tcMar>
              <w:top w:type="dxa" w:w="90"/>
              <w:left w:type="dxa" w:w="110"/>
              <w:bottom w:type="dxa" w:w="90"/>
              <w:right w:type="dxa" w:w="110"/>
            </w:tcMar>
            <w:vAlign w:val="center"/>
          </w:tcPr>
          <w:p>
            <w:r>
              <w:rPr>
                <w:b/>
                <w:bCs/>
                <w:color w:val="FFFFFF"/>
                <w:sz w:val="19"/>
                <w:szCs w:val="19"/>
              </w:rPr>
              <w:t xml:space="preserve">Dimension</w:t>
            </w:r>
          </w:p>
        </w:tc>
        <w:tc>
          <w:tcPr>
            <w:tcW w:type="dxa" w:w="1750"/>
            <w:shd w:fill="1B2A4A" w:color="auto" w:val="clear"/>
            <w:tcMar>
              <w:top w:type="dxa" w:w="90"/>
              <w:left w:type="dxa" w:w="110"/>
              <w:bottom w:type="dxa" w:w="90"/>
              <w:right w:type="dxa" w:w="110"/>
            </w:tcMar>
            <w:vAlign w:val="center"/>
          </w:tcPr>
          <w:p>
            <w:r>
              <w:rPr>
                <w:b/>
                <w:bCs/>
                <w:color w:val="FFFFFF"/>
                <w:sz w:val="19"/>
                <w:szCs w:val="19"/>
              </w:rPr>
              <w:t xml:space="preserve">Conventional Bit Tx.</w:t>
            </w:r>
          </w:p>
        </w:tc>
        <w:tc>
          <w:tcPr>
            <w:tcW w:type="dxa" w:w="1750"/>
            <w:shd w:fill="1B2A4A" w:color="auto" w:val="clear"/>
            <w:tcMar>
              <w:top w:type="dxa" w:w="90"/>
              <w:left w:type="dxa" w:w="110"/>
              <w:bottom w:type="dxa" w:w="90"/>
              <w:right w:type="dxa" w:w="110"/>
            </w:tcMar>
            <w:vAlign w:val="center"/>
          </w:tcPr>
          <w:p>
            <w:r>
              <w:rPr>
                <w:b/>
                <w:bCs/>
                <w:color w:val="FFFFFF"/>
                <w:sz w:val="19"/>
                <w:szCs w:val="19"/>
              </w:rPr>
              <w:t xml:space="preserve">Semantic Tx.</w:t>
            </w:r>
          </w:p>
        </w:tc>
        <w:tc>
          <w:tcPr>
            <w:tcW w:type="dxa" w:w="2050"/>
            <w:shd w:fill="1B2A4A" w:color="auto" w:val="clear"/>
            <w:tcMar>
              <w:top w:type="dxa" w:w="90"/>
              <w:left w:type="dxa" w:w="110"/>
              <w:bottom w:type="dxa" w:w="90"/>
              <w:right w:type="dxa" w:w="110"/>
            </w:tcMar>
            <w:vAlign w:val="center"/>
          </w:tcPr>
          <w:p>
            <w:r>
              <w:rPr>
                <w:b/>
                <w:bCs/>
                <w:color w:val="FFFFFF"/>
                <w:sz w:val="19"/>
                <w:szCs w:val="19"/>
              </w:rPr>
              <w:t xml:space="preserve">Compressed Semantic Tx.</w:t>
            </w:r>
          </w:p>
        </w:tc>
        <w:tc>
          <w:tcPr>
            <w:tcW w:type="dxa" w:w="2200"/>
            <w:shd w:fill="1B2A4A" w:color="auto" w:val="clear"/>
            <w:tcMar>
              <w:top w:type="dxa" w:w="90"/>
              <w:left w:type="dxa" w:w="110"/>
              <w:bottom w:type="dxa" w:w="90"/>
              <w:right w:type="dxa" w:w="110"/>
            </w:tcMar>
            <w:vAlign w:val="center"/>
          </w:tcPr>
          <w:p>
            <w:r>
              <w:rPr>
                <w:b/>
                <w:bCs/>
                <w:color w:val="FFFFFF"/>
                <w:sz w:val="19"/>
                <w:szCs w:val="19"/>
              </w:rPr>
              <w:t xml:space="preserve">Practical Implication</w:t>
            </w:r>
          </w:p>
        </w:tc>
      </w:tr>
      <w:tr>
        <w:tc>
          <w:tcPr>
            <w:tcW w:type="dxa" w:w="1750"/>
            <w:shd w:fill="EEF1F6" w:color="auto" w:val="clear"/>
            <w:tcMar>
              <w:top w:type="dxa" w:w="80"/>
              <w:left w:type="dxa" w:w="110"/>
              <w:bottom w:type="dxa" w:w="80"/>
              <w:right w:type="dxa" w:w="110"/>
            </w:tcMar>
            <w:vAlign w:val="center"/>
          </w:tcPr>
          <w:p>
            <w:pPr>
              <w:spacing w:line="260"/>
            </w:pPr>
            <w:r>
              <w:rPr>
                <w:b/>
                <w:bCs/>
                <w:color w:val="222222"/>
                <w:sz w:val="19"/>
                <w:szCs w:val="19"/>
              </w:rPr>
              <w:t xml:space="preserve">Data volume</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Highest</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Low</w:t>
            </w:r>
          </w:p>
        </w:tc>
        <w:tc>
          <w:tcPr>
            <w:tcW w:type="dxa" w:w="20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Lowest</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Bandwidth-scarce links favor semantic modes</w:t>
            </w:r>
          </w:p>
        </w:tc>
      </w:tr>
      <w:tr>
        <w:tc>
          <w:tcPr>
            <w:tcW w:type="dxa" w:w="1750"/>
            <w:tcMar>
              <w:top w:type="dxa" w:w="80"/>
              <w:left w:type="dxa" w:w="110"/>
              <w:bottom w:type="dxa" w:w="80"/>
              <w:right w:type="dxa" w:w="110"/>
            </w:tcMar>
            <w:vAlign w:val="center"/>
          </w:tcPr>
          <w:p>
            <w:pPr>
              <w:spacing w:line="260"/>
            </w:pPr>
            <w:r>
              <w:rPr>
                <w:b/>
                <w:bCs/>
                <w:color w:val="222222"/>
                <w:sz w:val="19"/>
                <w:szCs w:val="19"/>
              </w:rPr>
              <w:t xml:space="preserve">Reconstruction fidelity</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Exact (bit-for-bit)</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Approximate (meaning-preserving)</w:t>
            </w:r>
          </w:p>
        </w:tc>
        <w:tc>
          <w:tcPr>
            <w:tcW w:type="dxa" w:w="2050"/>
            <w:tcMar>
              <w:top w:type="dxa" w:w="80"/>
              <w:left w:type="dxa" w:w="110"/>
              <w:bottom w:type="dxa" w:w="80"/>
              <w:right w:type="dxa" w:w="110"/>
            </w:tcMar>
            <w:vAlign w:val="center"/>
          </w:tcPr>
          <w:p>
            <w:pPr>
              <w:spacing w:line="260"/>
            </w:pPr>
            <w:r>
              <w:rPr>
                <w:b w:val="false"/>
                <w:bCs w:val="false"/>
                <w:color w:val="222222"/>
                <w:sz w:val="19"/>
                <w:szCs w:val="19"/>
              </w:rPr>
              <w:t xml:space="preserve">Lossier approximation</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Bit tx. required for safety-critical / control data</w:t>
            </w:r>
          </w:p>
        </w:tc>
      </w:tr>
      <w:tr>
        <w:tc>
          <w:tcPr>
            <w:tcW w:type="dxa" w:w="1750"/>
            <w:shd w:fill="EEF1F6" w:color="auto" w:val="clear"/>
            <w:tcMar>
              <w:top w:type="dxa" w:w="80"/>
              <w:left w:type="dxa" w:w="110"/>
              <w:bottom w:type="dxa" w:w="80"/>
              <w:right w:type="dxa" w:w="110"/>
            </w:tcMar>
            <w:vAlign w:val="center"/>
          </w:tcPr>
          <w:p>
            <w:pPr>
              <w:spacing w:line="260"/>
            </w:pPr>
            <w:r>
              <w:rPr>
                <w:b/>
                <w:bCs/>
                <w:color w:val="222222"/>
                <w:sz w:val="19"/>
                <w:szCs w:val="19"/>
              </w:rPr>
              <w:t xml:space="preserve">Processing (encode/decode) delay</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Negligible</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Moderate (neural inference)</w:t>
            </w:r>
          </w:p>
        </w:tc>
        <w:tc>
          <w:tcPr>
            <w:tcW w:type="dxa" w:w="20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Moderate-to-low (lighter latent)</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Compute-constrained UAVs pay a latency tax for semantic modes</w:t>
            </w:r>
          </w:p>
        </w:tc>
      </w:tr>
      <w:tr>
        <w:tc>
          <w:tcPr>
            <w:tcW w:type="dxa" w:w="1750"/>
            <w:tcMar>
              <w:top w:type="dxa" w:w="80"/>
              <w:left w:type="dxa" w:w="110"/>
              <w:bottom w:type="dxa" w:w="80"/>
              <w:right w:type="dxa" w:w="110"/>
            </w:tcMar>
            <w:vAlign w:val="center"/>
          </w:tcPr>
          <w:p>
            <w:pPr>
              <w:spacing w:line="260"/>
            </w:pPr>
            <w:r>
              <w:rPr>
                <w:b/>
                <w:bCs/>
                <w:color w:val="222222"/>
                <w:sz w:val="19"/>
                <w:szCs w:val="19"/>
              </w:rPr>
              <w:t xml:space="preserve">Energy cost</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High (radio-dominated)</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Moderate (radio + inference)</w:t>
            </w:r>
          </w:p>
        </w:tc>
        <w:tc>
          <w:tcPr>
            <w:tcW w:type="dxa" w:w="2050"/>
            <w:tcMar>
              <w:top w:type="dxa" w:w="80"/>
              <w:left w:type="dxa" w:w="110"/>
              <w:bottom w:type="dxa" w:w="80"/>
              <w:right w:type="dxa" w:w="110"/>
            </w:tcMar>
            <w:vAlign w:val="center"/>
          </w:tcPr>
          <w:p>
            <w:pPr>
              <w:spacing w:line="260"/>
            </w:pPr>
            <w:r>
              <w:rPr>
                <w:b w:val="false"/>
                <w:bCs w:val="false"/>
                <w:color w:val="222222"/>
                <w:sz w:val="19"/>
                <w:szCs w:val="19"/>
              </w:rPr>
              <w:t xml:space="preserve">Lowest overall</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Battery-limited UAVs benefit from semantic modes on long missions</w:t>
            </w:r>
          </w:p>
        </w:tc>
      </w:tr>
      <w:tr>
        <w:tc>
          <w:tcPr>
            <w:tcW w:type="dxa" w:w="1750"/>
            <w:shd w:fill="EEF1F6" w:color="auto" w:val="clear"/>
            <w:tcMar>
              <w:top w:type="dxa" w:w="80"/>
              <w:left w:type="dxa" w:w="110"/>
              <w:bottom w:type="dxa" w:w="80"/>
              <w:right w:type="dxa" w:w="110"/>
            </w:tcMar>
            <w:vAlign w:val="center"/>
          </w:tcPr>
          <w:p>
            <w:pPr>
              <w:spacing w:line="260"/>
            </w:pPr>
            <w:r>
              <w:rPr>
                <w:b/>
                <w:bCs/>
                <w:color w:val="222222"/>
                <w:sz w:val="19"/>
                <w:szCs w:val="19"/>
              </w:rPr>
              <w:t xml:space="preserve">Robustness to poor channel / noise</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Fails hard (packet loss / outage)</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Degrades gracefully but unpredictably</w:t>
            </w:r>
          </w:p>
        </w:tc>
        <w:tc>
          <w:tcPr>
            <w:tcW w:type="dxa" w:w="20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Most resilient at very low SNR</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Weak-channel regimes favor semantic / compressed semantic</w:t>
            </w:r>
          </w:p>
        </w:tc>
      </w:tr>
      <w:tr>
        <w:tc>
          <w:tcPr>
            <w:tcW w:type="dxa" w:w="1750"/>
            <w:tcMar>
              <w:top w:type="dxa" w:w="80"/>
              <w:left w:type="dxa" w:w="110"/>
              <w:bottom w:type="dxa" w:w="80"/>
              <w:right w:type="dxa" w:w="110"/>
            </w:tcMar>
            <w:vAlign w:val="center"/>
          </w:tcPr>
          <w:p>
            <w:pPr>
              <w:spacing w:line="260"/>
            </w:pPr>
            <w:r>
              <w:rPr>
                <w:b/>
                <w:bCs/>
                <w:color w:val="222222"/>
                <w:sz w:val="19"/>
                <w:szCs w:val="19"/>
              </w:rPr>
              <w:t xml:space="preserve">Best suited task type</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Control commands, alerts, safety data</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Imagery, telemetry, monitoring streams</w:t>
            </w:r>
          </w:p>
        </w:tc>
        <w:tc>
          <w:tcPr>
            <w:tcW w:type="dxa" w:w="2050"/>
            <w:tcMar>
              <w:top w:type="dxa" w:w="80"/>
              <w:left w:type="dxa" w:w="110"/>
              <w:bottom w:type="dxa" w:w="80"/>
              <w:right w:type="dxa" w:w="110"/>
            </w:tcMar>
            <w:vAlign w:val="center"/>
          </w:tcPr>
          <w:p>
            <w:pPr>
              <w:spacing w:line="260"/>
            </w:pPr>
            <w:r>
              <w:rPr>
                <w:b w:val="false"/>
                <w:bCs w:val="false"/>
                <w:color w:val="222222"/>
                <w:sz w:val="19"/>
                <w:szCs w:val="19"/>
              </w:rPr>
              <w:t xml:space="preserve">Very urgent tasks / very poor channel</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Motivates per-task, context-aware switching</w:t>
            </w:r>
          </w:p>
        </w:tc>
      </w:tr>
    </w:tbl>
    <w:p>
      <w:pPr>
        <w:spacing w:after="300" w:before="100"/>
        <w:jc w:val="center"/>
      </w:pPr>
      <w:r>
        <w:rPr>
          <w:i/>
          <w:iCs/>
          <w:color w:val="5B6472"/>
          <w:sz w:val="19"/>
          <w:szCs w:val="19"/>
        </w:rPr>
        <w:t xml:space="preserve">Table 1. Trade-offs across the three candidate transmission modes.</w:t>
      </w:r>
    </w:p>
    <w:p>
      <w:pPr>
        <w:spacing w:after="160" w:line="300"/>
        <w:jc w:val="both"/>
      </w:pPr>
      <w:r>
        <w:rPr>
          <w:color w:val="222222"/>
          <w:sz w:val="22"/>
          <w:szCs w:val="22"/>
        </w:rPr>
        <w:t xml:space="preserve">No single mode is optimal for every task: the best choice depends on the instantaneous channel state, how urgent the task is, how much processing-delay budget the UAV's on-board compute can spare, and how much semantic quality the specific task actually requires. This motivates the core learning problem addressed in this project:</w:t>
      </w:r>
    </w:p>
    <w:p>
      <w:pPr>
        <w:spacing w:after="160" w:line="300"/>
        <w:jc w:val="both"/>
      </w:pPr>
      <w:r>
        <w:rPr>
          <w:b/>
          <w:bCs/>
          <w:color w:val="222222"/>
          <w:sz w:val="22"/>
          <w:szCs w:val="22"/>
        </w:rPr>
        <w:t xml:space="preserve">Given a stream of user tasks arriving at a UAV-assisted network, each described by its channel state, urgency, delay budget, and semantic quality requirement, learn an adaptive policy that selects — per task — the transmission mode (bit, semantic, or compressed semantic) that maximizes end-to-end task utility, expressed as a combination of task success/quality, latency, and energy cost.</w:t>
      </w:r>
    </w:p>
    <w:p>
      <w:pPr>
        <w:spacing w:after="160" w:line="300"/>
        <w:jc w:val="both"/>
      </w:pPr>
      <w:r>
        <w:rPr>
          <w:color w:val="222222"/>
          <w:sz w:val="22"/>
          <w:szCs w:val="22"/>
        </w:rPr>
        <w:t xml:space="preserve">We formulate this primarily as a contextual multi-armed bandit problem: at every task arrival the agent observes a context vector and chooses one of three arms, receiving a reward once the outcome is known. A Deep Q-Network (DQN) is trained as a secondary baseline to test whether modelling the problem as a full sequential Markov Decision Process — explicitly carrying UAV battery level and queue backlog across decisions — captures meaningfully more value than the lighter-weight, memoryless bandit formulation.</w:t>
      </w:r>
    </w:p>
    <w:p>
      <w:pPr>
        <w:pStyle w:val="Heading1"/>
        <w:pBdr>
          <w:bottom w:val="single" w:color="B08D57" w:sz="8" w:space="4"/>
        </w:pBdr>
        <w:spacing w:after="180" w:before="380"/>
      </w:pPr>
      <w:r>
        <w:rPr>
          <w:b/>
          <w:bCs/>
          <w:color w:val="1B2A4A"/>
          <w:sz w:val="30"/>
          <w:szCs w:val="30"/>
        </w:rPr>
        <w:t xml:space="preserve">2.  Why This Problem Matters</w:t>
      </w:r>
    </w:p>
    <w:p>
      <w:pPr>
        <w:pStyle w:val="ListParagraph"/>
        <w:numPr>
          <w:ilvl w:val="0"/>
          <w:numId w:val="2"/>
        </w:numPr>
        <w:spacing w:after="100" w:line="290"/>
      </w:pPr>
      <w:r>
        <w:rPr>
          <w:color w:val="222222"/>
          <w:sz w:val="22"/>
          <w:szCs w:val="22"/>
        </w:rPr>
        <w:t xml:space="preserve">Sits at the intersection of two of the most active current threads in wireless research — semantic / goal-oriented communication (a defining feature of 6G) and intelligent, learning-based resource allocation for aerial and edge networks — rather than treating either in isolation.</w:t>
      </w:r>
    </w:p>
    <w:p>
      <w:pPr>
        <w:pStyle w:val="ListParagraph"/>
        <w:numPr>
          <w:ilvl w:val="0"/>
          <w:numId w:val="2"/>
        </w:numPr>
        <w:spacing w:after="100" w:line="290"/>
      </w:pPr>
      <w:r>
        <w:rPr>
          <w:color w:val="222222"/>
          <w:sz w:val="22"/>
          <w:szCs w:val="22"/>
        </w:rPr>
        <w:t xml:space="preserve">UAV platforms are uniquely resource-constrained: limited battery, limited on-board compute, and a channel that varies far more than a fixed base station's. The cost of a poor transmission-mode choice is amplified compared to terrestrial infrastructure, which makes adaptive selection practically consequential rather than a purely academic refinement.</w:t>
      </w:r>
    </w:p>
    <w:p>
      <w:pPr>
        <w:pStyle w:val="ListParagraph"/>
        <w:numPr>
          <w:ilvl w:val="0"/>
          <w:numId w:val="2"/>
        </w:numPr>
        <w:spacing w:after="100" w:line="290"/>
      </w:pPr>
      <w:r>
        <w:rPr>
          <w:color w:val="222222"/>
          <w:sz w:val="22"/>
          <w:szCs w:val="22"/>
        </w:rPr>
        <w:t xml:space="preserve">Static, one-size-fits-all policies leave clear performance on the table: always sending raw bits wastes bandwidth and energy on content that does not need bit-level fidelity, while always compressing semantically risks failing tasks that genuinely need exact reconstruction and can behave unpredictably in poor channel conditions.</w:t>
      </w:r>
    </w:p>
    <w:p>
      <w:pPr>
        <w:pStyle w:val="ListParagraph"/>
        <w:numPr>
          <w:ilvl w:val="0"/>
          <w:numId w:val="2"/>
        </w:numPr>
        <w:spacing w:after="100" w:line="290"/>
      </w:pPr>
      <w:r>
        <w:rPr>
          <w:color w:val="222222"/>
          <w:sz w:val="22"/>
          <w:szCs w:val="22"/>
        </w:rPr>
        <w:t xml:space="preserve">Directly mirrors real deployment scenarios where task urgency swings enormously within a single mission — e.g., a search-and-rescue drone streaming routine terrain imagery most of the time, but needing to deliver an exact, urgent “person detected” alert the moment it matters. A single fixed policy cannot serve both needs well.</w:t>
      </w:r>
    </w:p>
    <w:p>
      <w:pPr>
        <w:pStyle w:val="ListParagraph"/>
        <w:numPr>
          <w:ilvl w:val="0"/>
          <w:numId w:val="2"/>
        </w:numPr>
        <w:spacing w:after="100" w:line="290"/>
      </w:pPr>
      <w:r>
        <w:rPr>
          <w:color w:val="222222"/>
          <w:sz w:val="22"/>
          <w:szCs w:val="22"/>
        </w:rPr>
        <w:t xml:space="preserve">An adaptive mode-selection layer is a lightweight, deployable add-on: it does not require redesigning the underlying semantic codec or the radio, only an intelligent arbitration layer on top of transmission modes that already exist — which keeps the project both impactful and realistic in scope.</w:t>
      </w:r>
    </w:p>
    <w:p>
      <w:pPr>
        <w:pStyle w:val="Heading1"/>
        <w:pBdr>
          <w:bottom w:val="single" w:color="B08D57" w:sz="8" w:space="4"/>
        </w:pBdr>
        <w:spacing w:after="180" w:before="380"/>
      </w:pPr>
      <w:r>
        <w:rPr>
          <w:b/>
          <w:bCs/>
          <w:color w:val="1B2A4A"/>
          <w:sz w:val="30"/>
          <w:szCs w:val="30"/>
        </w:rPr>
        <w:t xml:space="preserve">3.  Why We Chose This Problem</w:t>
      </w:r>
    </w:p>
    <w:p>
      <w:pPr>
        <w:spacing w:after="160" w:line="300"/>
        <w:jc w:val="both"/>
      </w:pPr>
      <w:r>
        <w:rPr>
          <w:color w:val="222222"/>
          <w:sz w:val="22"/>
          <w:szCs w:val="22"/>
        </w:rPr>
        <w:t xml:space="preserve">This topic was chosen deliberately rather than picked for convenience, for four main reasons:</w:t>
      </w:r>
    </w:p>
    <w:p>
      <w:pPr>
        <w:pStyle w:val="ListParagraph"/>
        <w:numPr>
          <w:ilvl w:val="0"/>
          <w:numId w:val="2"/>
        </w:numPr>
        <w:spacing w:after="100" w:line="290"/>
      </w:pPr>
      <w:r>
        <w:rPr>
          <w:color w:val="222222"/>
          <w:sz w:val="22"/>
          <w:szCs w:val="22"/>
        </w:rPr>
        <w:t xml:space="preserve">Novel intersection, not a rehash: bit-level rate adaptation is a classical, well-studied problem, and semantic communication codec design is an active but separate research thread. The specific question of arbitrating between the two — and a compressed-semantic middle ground — on a per-task basis is a comparatively open, current problem.</w:t>
      </w:r>
    </w:p>
    <w:p>
      <w:pPr>
        <w:pStyle w:val="ListParagraph"/>
        <w:numPr>
          <w:ilvl w:val="0"/>
          <w:numId w:val="2"/>
        </w:numPr>
        <w:spacing w:after="100" w:line="290"/>
      </w:pPr>
      <w:r>
        <w:rPr>
          <w:color w:val="222222"/>
          <w:sz w:val="22"/>
          <w:szCs w:val="22"/>
        </w:rPr>
        <w:t xml:space="preserve">The right scope for a course-length project: the environment (channel, task arrivals, and the semantic-quality proxy) can be fully simulated, so the project is tractable end-to-end within a semester while still producing results that are informative and defensible.</w:t>
      </w:r>
    </w:p>
    <w:p>
      <w:pPr>
        <w:pStyle w:val="ListParagraph"/>
        <w:numPr>
          <w:ilvl w:val="0"/>
          <w:numId w:val="2"/>
        </w:numPr>
        <w:spacing w:after="100" w:line="290"/>
      </w:pPr>
      <w:r>
        <w:rPr>
          <w:color w:val="222222"/>
          <w:sz w:val="22"/>
          <w:szCs w:val="22"/>
        </w:rPr>
        <w:t xml:space="preserve">Breadth across the ML syllabus: the project deliberately compares two paradigms — contextual bandits (LinUCB / Thompson Sampling) as the primary approach, and Deep Q-Learning as a baseline — giving a genuine, results-backed answer to “does this problem need full RL, or is a bandit enough?” rather than defaulting to one method.</w:t>
      </w:r>
    </w:p>
    <w:p>
      <w:pPr>
        <w:pStyle w:val="ListParagraph"/>
        <w:numPr>
          <w:ilvl w:val="0"/>
          <w:numId w:val="2"/>
        </w:numPr>
        <w:spacing w:after="100" w:line="290"/>
      </w:pPr>
      <w:r>
        <w:rPr>
          <w:color w:val="222222"/>
          <w:sz w:val="22"/>
          <w:szCs w:val="22"/>
        </w:rPr>
        <w:t xml:space="preserve">Clear extensibility: the same formulation extends naturally to multi-UAV, multi-user settings, energy-harvesting UAVs, or richer semantic-quality models — useful if this work is carried forward into a larger research project.</w:t>
      </w:r>
    </w:p>
    <w:p>
      <w:pPr>
        <w:pStyle w:val="Heading2"/>
        <w:spacing w:after="120" w:before="260"/>
      </w:pPr>
      <w:r>
        <w:rPr>
          <w:b/>
          <w:bCs/>
          <w:color w:val="3E5C89"/>
          <w:sz w:val="24"/>
          <w:szCs w:val="24"/>
        </w:rPr>
        <w:t xml:space="preserve">3.1  Positioning Relative to Existing Work</w:t>
      </w:r>
    </w:p>
    <w:p>
      <w:pPr>
        <w:spacing w:after="160" w:line="300"/>
        <w:jc w:val="both"/>
      </w:pPr>
      <w:r>
        <w:rPr>
          <w:color w:val="222222"/>
          <w:sz w:val="22"/>
          <w:szCs w:val="22"/>
        </w:rPr>
        <w:t xml:space="preserve">The building blocks of this project are individually well established in the literature, which gives the proposal a solid footing while leaving room for a distinct contribution. Deep joint source-channel coding has been shown to enable end-to-end learned semantic transmission for images and speech, and task-oriented variants have specifically targeted aerial imagery, using reinforcement learning to trade off classification accuracy against transmission latency under varying channel gain. Separately, contextual bandits — and LinUCB in particular — have been applied to network and rate-adaptation problems, including a recent formulation for flying networks that uses UAV trajectory and channel context to adapt transmission rate in real time. Most closely related is recent work combining a hybrid bit-and-semantic transmission framework with UAV-enabled wireless power transfer, which jointly optimizes UAV trajectory, base-station selection, and transmission mode using a full deep reinforcement learning pipeline.</w:t>
      </w:r>
    </w:p>
    <w:p>
      <w:pPr>
        <w:spacing w:after="160" w:line="300"/>
        <w:jc w:val="both"/>
      </w:pPr>
      <w:r>
        <w:rPr>
          <w:color w:val="222222"/>
          <w:sz w:val="22"/>
          <w:szCs w:val="22"/>
        </w:rPr>
        <w:t xml:space="preserve">This project's distinct angle is to isolate the mode-selection decision itself and treat it as a contextual bandit rather than folding it into a larger joint-optimization DRL pipeline: this keeps the learning problem lightweight, sample-efficient, and fast to converge, which matters when the underlying channel and task mix are themselves changing quickly. Semantic quality requirement, urgency, processing-delay budget, and channel state are combined as a single joint context — most closely related work conditions on channel state and latency alone. The DQN baseline is included specifically to test, empirically, whether the added complexity of a full sequential MDP formulation is actually justified for this decision, or whether the simpler bandit formulation is sufficient — a comparison that is useful precisely because the literature does not converge on one answer.</w:t>
      </w:r>
    </w:p>
    <w:p>
      <w:pPr>
        <w:pStyle w:val="Heading1"/>
        <w:pBdr>
          <w:bottom w:val="single" w:color="B08D57" w:sz="8" w:space="4"/>
        </w:pBdr>
        <w:spacing w:after="180" w:before="380"/>
      </w:pPr>
      <w:r>
        <w:rPr>
          <w:b/>
          <w:bCs/>
          <w:color w:val="1B2A4A"/>
          <w:sz w:val="30"/>
          <w:szCs w:val="30"/>
        </w:rPr>
        <w:t xml:space="preserve">4.  Proposed Methodology</w:t>
      </w:r>
    </w:p>
    <w:p>
      <w:pPr>
        <w:pStyle w:val="Heading2"/>
        <w:spacing w:after="120" w:before="260"/>
      </w:pPr>
      <w:r>
        <w:rPr>
          <w:b/>
          <w:bCs/>
          <w:color w:val="3E5C89"/>
          <w:sz w:val="24"/>
          <w:szCs w:val="24"/>
        </w:rPr>
        <w:t xml:space="preserve">4.1  System Model and Problem Formulation</w:t>
      </w:r>
    </w:p>
    <w:p>
      <w:pPr>
        <w:spacing w:after="160" w:line="300"/>
        <w:jc w:val="both"/>
      </w:pPr>
      <w:r>
        <w:rPr>
          <w:color w:val="222222"/>
          <w:sz w:val="22"/>
          <w:szCs w:val="22"/>
        </w:rPr>
        <w:t xml:space="preserve">We model a UAV acting as an aerial relay / edge node serving multiple ground users. Tasks arrive at the UAV following a stochastic arrival process; each task carries a data payload (e.g., an image, a sensor reading, or a control message), an urgency class, and a semantic-quality requirement. On each task arrival, the learning agent observes a context vector and must immediately select one of the three transmission modes before the task is served.</w:t>
      </w:r>
    </w:p>
    <w:p>
      <w:pPr>
        <w:spacing w:after="60" w:before="20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300" w:before="100"/>
        <w:jc w:val="center"/>
      </w:pPr>
      <w:r>
        <w:rPr>
          <w:i/>
          <w:iCs/>
          <w:color w:val="5B6472"/>
          <w:sz w:val="19"/>
          <w:szCs w:val="19"/>
        </w:rPr>
        <w:t xml:space="preserve">Figure 1. End-to-end system view: task arrival → context extraction → mode-selection agent → transmission over the UAV–ground channel → reward feedback.</w:t>
      </w:r>
    </w:p>
    <w:p>
      <w:pPr>
        <w:pStyle w:val="Heading2"/>
        <w:spacing w:after="120" w:before="260"/>
      </w:pPr>
      <w:r>
        <w:rPr>
          <w:b/>
          <w:bCs/>
          <w:color w:val="3E5C89"/>
          <w:sz w:val="24"/>
          <w:szCs w:val="24"/>
        </w:rPr>
        <w:t xml:space="preserve">4.2  Context, Action, and Reward Design</w:t>
      </w:r>
    </w:p>
    <w:p>
      <w:pPr>
        <w:spacing w:after="160" w:line="300"/>
        <w:jc w:val="both"/>
      </w:pPr>
      <w:r>
        <w:rPr>
          <w:color w:val="222222"/>
          <w:sz w:val="22"/>
          <w:szCs w:val="22"/>
        </w:rPr>
        <w:t xml:space="preserve">The context vector is designed to capture exactly the four factors identified in the problem statement, plus a queue-load signal that matters once multiple tasks compete for the same link: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B2A4A" w:color="auto" w:val="clear"/>
            <w:tcMar>
              <w:top w:type="dxa" w:w="90"/>
              <w:left w:type="dxa" w:w="110"/>
              <w:bottom w:type="dxa" w:w="90"/>
              <w:right w:type="dxa" w:w="110"/>
            </w:tcMar>
            <w:vAlign w:val="center"/>
          </w:tcPr>
          <w:p>
            <w:r>
              <w:rPr>
                <w:b/>
                <w:bCs/>
                <w:color w:val="FFFFFF"/>
                <w:sz w:val="19"/>
                <w:szCs w:val="19"/>
              </w:rPr>
              <w:t xml:space="preserve">Context Feature</w:t>
            </w:r>
          </w:p>
        </w:tc>
        <w:tc>
          <w:tcPr>
            <w:tcW w:type="dxa" w:w="3600"/>
            <w:shd w:fill="1B2A4A" w:color="auto" w:val="clear"/>
            <w:tcMar>
              <w:top w:type="dxa" w:w="90"/>
              <w:left w:type="dxa" w:w="110"/>
              <w:bottom w:type="dxa" w:w="90"/>
              <w:right w:type="dxa" w:w="110"/>
            </w:tcMar>
            <w:vAlign w:val="center"/>
          </w:tcPr>
          <w:p>
            <w:r>
              <w:rPr>
                <w:b/>
                <w:bCs/>
                <w:color w:val="FFFFFF"/>
                <w:sz w:val="19"/>
                <w:szCs w:val="19"/>
              </w:rPr>
              <w:t xml:space="preserve">What It Captures</w:t>
            </w:r>
          </w:p>
        </w:tc>
        <w:tc>
          <w:tcPr>
            <w:tcW w:type="dxa" w:w="3700"/>
            <w:shd w:fill="1B2A4A" w:color="auto" w:val="clear"/>
            <w:tcMar>
              <w:top w:type="dxa" w:w="90"/>
              <w:left w:type="dxa" w:w="110"/>
              <w:bottom w:type="dxa" w:w="90"/>
              <w:right w:type="dxa" w:w="110"/>
            </w:tcMar>
            <w:vAlign w:val="center"/>
          </w:tcPr>
          <w:p>
            <w:r>
              <w:rPr>
                <w:b/>
                <w:bCs/>
                <w:color w:val="FFFFFF"/>
                <w:sz w:val="19"/>
                <w:szCs w:val="19"/>
              </w:rPr>
              <w:t xml:space="preserve">Example Signal / Proxy Used in Simulation</w:t>
            </w:r>
          </w:p>
        </w:tc>
      </w:tr>
      <w:tr>
        <w:tc>
          <w:tcPr>
            <w:tcW w:type="dxa" w:w="2200"/>
            <w:shd w:fill="EEF1F6" w:color="auto" w:val="clear"/>
            <w:tcMar>
              <w:top w:type="dxa" w:w="80"/>
              <w:left w:type="dxa" w:w="110"/>
              <w:bottom w:type="dxa" w:w="80"/>
              <w:right w:type="dxa" w:w="110"/>
            </w:tcMar>
            <w:vAlign w:val="center"/>
          </w:tcPr>
          <w:p>
            <w:pPr>
              <w:spacing w:line="260"/>
            </w:pPr>
            <w:r>
              <w:rPr>
                <w:b/>
                <w:bCs/>
                <w:color w:val="222222"/>
                <w:sz w:val="19"/>
                <w:szCs w:val="19"/>
              </w:rPr>
              <w:t xml:space="preserve">Channel state</w:t>
            </w:r>
          </w:p>
        </w:tc>
        <w:tc>
          <w:tcPr>
            <w:tcW w:type="dxa" w:w="36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Instantaneous link quality between UAV and ground node</w:t>
            </w:r>
          </w:p>
        </w:tc>
        <w:tc>
          <w:tcPr>
            <w:tcW w:type="dxa" w:w="37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Estimated SNR / RSSI, LoS vs. NLoS probability, fading coefficient</w:t>
            </w:r>
          </w:p>
        </w:tc>
      </w:tr>
      <w:tr>
        <w:tc>
          <w:tcPr>
            <w:tcW w:type="dxa" w:w="2200"/>
            <w:tcMar>
              <w:top w:type="dxa" w:w="80"/>
              <w:left w:type="dxa" w:w="110"/>
              <w:bottom w:type="dxa" w:w="80"/>
              <w:right w:type="dxa" w:w="110"/>
            </w:tcMar>
            <w:vAlign w:val="center"/>
          </w:tcPr>
          <w:p>
            <w:pPr>
              <w:spacing w:line="260"/>
            </w:pPr>
            <w:r>
              <w:rPr>
                <w:b/>
                <w:bCs/>
                <w:color w:val="222222"/>
                <w:sz w:val="19"/>
                <w:szCs w:val="19"/>
              </w:rPr>
              <w:t xml:space="preserve">Task urgency</w:t>
            </w:r>
          </w:p>
        </w:tc>
        <w:tc>
          <w:tcPr>
            <w:tcW w:type="dxa" w:w="3600"/>
            <w:tcMar>
              <w:top w:type="dxa" w:w="80"/>
              <w:left w:type="dxa" w:w="110"/>
              <w:bottom w:type="dxa" w:w="80"/>
              <w:right w:type="dxa" w:w="110"/>
            </w:tcMar>
            <w:vAlign w:val="center"/>
          </w:tcPr>
          <w:p>
            <w:pPr>
              <w:spacing w:line="260"/>
            </w:pPr>
            <w:r>
              <w:rPr>
                <w:b w:val="false"/>
                <w:bCs w:val="false"/>
                <w:color w:val="222222"/>
                <w:sz w:val="19"/>
                <w:szCs w:val="19"/>
              </w:rPr>
              <w:t xml:space="preserve">How time-critical the task's outcome is</w:t>
            </w:r>
          </w:p>
        </w:tc>
        <w:tc>
          <w:tcPr>
            <w:tcW w:type="dxa" w:w="3700"/>
            <w:tcMar>
              <w:top w:type="dxa" w:w="80"/>
              <w:left w:type="dxa" w:w="110"/>
              <w:bottom w:type="dxa" w:w="80"/>
              <w:right w:type="dxa" w:w="110"/>
            </w:tcMar>
            <w:vAlign w:val="center"/>
          </w:tcPr>
          <w:p>
            <w:pPr>
              <w:spacing w:line="260"/>
            </w:pPr>
            <w:r>
              <w:rPr>
                <w:b w:val="false"/>
                <w:bCs w:val="false"/>
                <w:color w:val="222222"/>
                <w:sz w:val="19"/>
                <w:szCs w:val="19"/>
              </w:rPr>
              <w:t xml:space="preserve">Deadline class (routine / priority / emergency), time-to-deadline</w:t>
            </w:r>
          </w:p>
        </w:tc>
      </w:tr>
      <w:tr>
        <w:tc>
          <w:tcPr>
            <w:tcW w:type="dxa" w:w="2200"/>
            <w:shd w:fill="EEF1F6" w:color="auto" w:val="clear"/>
            <w:tcMar>
              <w:top w:type="dxa" w:w="80"/>
              <w:left w:type="dxa" w:w="110"/>
              <w:bottom w:type="dxa" w:w="80"/>
              <w:right w:type="dxa" w:w="110"/>
            </w:tcMar>
            <w:vAlign w:val="center"/>
          </w:tcPr>
          <w:p>
            <w:pPr>
              <w:spacing w:line="260"/>
            </w:pPr>
            <w:r>
              <w:rPr>
                <w:b/>
                <w:bCs/>
                <w:color w:val="222222"/>
                <w:sz w:val="19"/>
                <w:szCs w:val="19"/>
              </w:rPr>
              <w:t xml:space="preserve">Processing delay budget</w:t>
            </w:r>
          </w:p>
        </w:tc>
        <w:tc>
          <w:tcPr>
            <w:tcW w:type="dxa" w:w="36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Compute headroom available on the UAV at decision time</w:t>
            </w:r>
          </w:p>
        </w:tc>
        <w:tc>
          <w:tcPr>
            <w:tcW w:type="dxa" w:w="37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On-board queue length, CPU/GPU utilization, battery state</w:t>
            </w:r>
          </w:p>
        </w:tc>
      </w:tr>
      <w:tr>
        <w:tc>
          <w:tcPr>
            <w:tcW w:type="dxa" w:w="2200"/>
            <w:tcMar>
              <w:top w:type="dxa" w:w="80"/>
              <w:left w:type="dxa" w:w="110"/>
              <w:bottom w:type="dxa" w:w="80"/>
              <w:right w:type="dxa" w:w="110"/>
            </w:tcMar>
            <w:vAlign w:val="center"/>
          </w:tcPr>
          <w:p>
            <w:pPr>
              <w:spacing w:line="260"/>
            </w:pPr>
            <w:r>
              <w:rPr>
                <w:b/>
                <w:bCs/>
                <w:color w:val="222222"/>
                <w:sz w:val="19"/>
                <w:szCs w:val="19"/>
              </w:rPr>
              <w:t xml:space="preserve">Semantic quality requirement</w:t>
            </w:r>
          </w:p>
        </w:tc>
        <w:tc>
          <w:tcPr>
            <w:tcW w:type="dxa" w:w="3600"/>
            <w:tcMar>
              <w:top w:type="dxa" w:w="80"/>
              <w:left w:type="dxa" w:w="110"/>
              <w:bottom w:type="dxa" w:w="80"/>
              <w:right w:type="dxa" w:w="110"/>
            </w:tcMar>
            <w:vAlign w:val="center"/>
          </w:tcPr>
          <w:p>
            <w:pPr>
              <w:spacing w:line="260"/>
            </w:pPr>
            <w:r>
              <w:rPr>
                <w:b w:val="false"/>
                <w:bCs w:val="false"/>
                <w:color w:val="222222"/>
                <w:sz w:val="19"/>
                <w:szCs w:val="19"/>
              </w:rPr>
              <w:t xml:space="preserve">How much approximation the task can tolerate</w:t>
            </w:r>
          </w:p>
        </w:tc>
        <w:tc>
          <w:tcPr>
            <w:tcW w:type="dxa" w:w="3700"/>
            <w:tcMar>
              <w:top w:type="dxa" w:w="80"/>
              <w:left w:type="dxa" w:w="110"/>
              <w:bottom w:type="dxa" w:w="80"/>
              <w:right w:type="dxa" w:w="110"/>
            </w:tcMar>
            <w:vAlign w:val="center"/>
          </w:tcPr>
          <w:p>
            <w:pPr>
              <w:spacing w:line="260"/>
            </w:pPr>
            <w:r>
              <w:rPr>
                <w:b w:val="false"/>
                <w:bCs w:val="false"/>
                <w:color w:val="222222"/>
                <w:sz w:val="19"/>
                <w:szCs w:val="19"/>
              </w:rPr>
              <w:t xml:space="preserve">Task type flag (e.g., control vs. imagery), minimum acceptable fidelity score</w:t>
            </w:r>
          </w:p>
        </w:tc>
      </w:tr>
      <w:tr>
        <w:tc>
          <w:tcPr>
            <w:tcW w:type="dxa" w:w="2200"/>
            <w:shd w:fill="EEF1F6" w:color="auto" w:val="clear"/>
            <w:tcMar>
              <w:top w:type="dxa" w:w="80"/>
              <w:left w:type="dxa" w:w="110"/>
              <w:bottom w:type="dxa" w:w="80"/>
              <w:right w:type="dxa" w:w="110"/>
            </w:tcMar>
            <w:vAlign w:val="center"/>
          </w:tcPr>
          <w:p>
            <w:pPr>
              <w:spacing w:line="260"/>
            </w:pPr>
            <w:r>
              <w:rPr>
                <w:b/>
                <w:bCs/>
                <w:color w:val="222222"/>
                <w:sz w:val="19"/>
                <w:szCs w:val="19"/>
              </w:rPr>
              <w:t xml:space="preserve">Queue / traffic load</w:t>
            </w:r>
          </w:p>
        </w:tc>
        <w:tc>
          <w:tcPr>
            <w:tcW w:type="dxa" w:w="36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Contention for the shared UAV-ground link</w:t>
            </w:r>
          </w:p>
        </w:tc>
        <w:tc>
          <w:tcPr>
            <w:tcW w:type="dxa" w:w="37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Number of pending tasks, recent throughput utilization</w:t>
            </w:r>
          </w:p>
        </w:tc>
      </w:tr>
    </w:tbl>
    <w:p>
      <w:pPr>
        <w:spacing w:after="300" w:before="100"/>
        <w:jc w:val="center"/>
      </w:pPr>
      <w:r>
        <w:rPr>
          <w:i/>
          <w:iCs/>
          <w:color w:val="5B6472"/>
          <w:sz w:val="19"/>
          <w:szCs w:val="19"/>
        </w:rPr>
        <w:t xml:space="preserve">Table 2. Context features used by the learning agent.</w:t>
      </w:r>
    </w:p>
    <w:p>
      <w:pPr>
        <w:spacing w:after="160" w:line="300"/>
        <w:jc w:val="both"/>
      </w:pPr>
      <w:r>
        <w:rPr>
          <w:color w:val="222222"/>
          <w:sz w:val="22"/>
          <w:szCs w:val="22"/>
        </w:rPr>
        <w:t xml:space="preserve">The action space is the three transmission modes defined in Section 1. The reward combines task outcome quality with the costs that make the decision non-trivial, with urgency scaling the latency penalty so that time-critical tasks are punished more heavily for slow delivery:</w:t>
      </w:r>
    </w:p>
    <w:p>
      <w:pPr>
        <w:spacing w:after="200" w:before="80"/>
        <w:jc w:val="center"/>
      </w:pPr>
      <w:r>
        <w:rPr>
          <w:i/>
          <w:iCs/>
          <w:color w:val="3E5C89"/>
          <w:sz w:val="21"/>
          <w:szCs w:val="21"/>
        </w:rPr>
        <w:t xml:space="preserve">Reward = w₁·Quality(mode) − w₂·Urgency·Latency(mode) − w₃·Energy(mode) − w₄·𝟙[task failed]</w:t>
      </w:r>
    </w:p>
    <w:p>
      <w:pPr>
        <w:pStyle w:val="ListParagraph"/>
        <w:numPr>
          <w:ilvl w:val="0"/>
          <w:numId w:val="2"/>
        </w:numPr>
        <w:spacing w:after="100" w:line="290"/>
      </w:pPr>
      <w:r>
        <w:rPr>
          <w:color w:val="222222"/>
          <w:sz w:val="22"/>
          <w:szCs w:val="22"/>
        </w:rPr>
        <w:t xml:space="preserve">Quality(mode) is a success indicator (0/1, governed by outage probability) for bit transmission, and a semantic-similarity score (e.g., cosine similarity between source and reconstructed feature embeddings, or a task-accuracy proxy) for semantic and compressed semantic transmission, with the latter further discounted for its extra compression loss.</w:t>
      </w:r>
    </w:p>
    <w:p>
      <w:pPr>
        <w:pStyle w:val="ListParagraph"/>
        <w:numPr>
          <w:ilvl w:val="0"/>
          <w:numId w:val="2"/>
        </w:numPr>
        <w:spacing w:after="100" w:line="290"/>
      </w:pPr>
      <w:r>
        <w:rPr>
          <w:color w:val="222222"/>
          <w:sz w:val="22"/>
          <w:szCs w:val="22"/>
        </w:rPr>
        <w:t xml:space="preserve">Latency(mode) and Energy(mode) are measured end-to-end, including on-board neural inference time/energy for the two semantic modes, which conventional bit transmission does not incur.</w:t>
      </w:r>
    </w:p>
    <w:p>
      <w:pPr>
        <w:pStyle w:val="ListParagraph"/>
        <w:numPr>
          <w:ilvl w:val="0"/>
          <w:numId w:val="2"/>
        </w:numPr>
        <w:spacing w:after="100" w:line="290"/>
      </w:pPr>
      <w:r>
        <w:rPr>
          <w:color w:val="222222"/>
          <w:sz w:val="22"/>
          <w:szCs w:val="22"/>
        </w:rPr>
        <w:t xml:space="preserve">Weights w₁–w₄ are tuned so the reward reflects realistic mission priorities, and can be varied in experiments to study sensitivity (e.g., an energy-scarce configuration versus a latency-critical configuration).</w:t>
      </w:r>
    </w:p>
    <w:p>
      <w:pPr>
        <w:pStyle w:val="Heading2"/>
        <w:spacing w:after="120" w:before="260"/>
      </w:pPr>
      <w:r>
        <w:rPr>
          <w:b/>
          <w:bCs/>
          <w:color w:val="3E5C89"/>
          <w:sz w:val="24"/>
          <w:szCs w:val="24"/>
        </w:rPr>
        <w:t xml:space="preserve">4.3  Learning Algorithms</w:t>
      </w:r>
    </w:p>
    <w:p>
      <w:pPr>
        <w:spacing w:after="160" w:line="300"/>
        <w:jc w:val="both"/>
      </w:pPr>
      <w:r>
        <w:rPr>
          <w:b/>
          <w:bCs/>
          <w:color w:val="222222"/>
          <w:sz w:val="22"/>
          <w:szCs w:val="22"/>
        </w:rPr>
        <w:t xml:space="preserve">Primary approach — contextual bandits:</w:t>
      </w:r>
    </w:p>
    <w:p>
      <w:pPr>
        <w:pStyle w:val="ListParagraph"/>
        <w:numPr>
          <w:ilvl w:val="0"/>
          <w:numId w:val="2"/>
        </w:numPr>
        <w:spacing w:after="100" w:line="290"/>
      </w:pPr>
      <w:r>
        <w:rPr>
          <w:color w:val="222222"/>
          <w:sz w:val="22"/>
          <w:szCs w:val="22"/>
        </w:rPr>
        <w:t xml:space="preserve">LinUCB: assumes a linear relationship between context and expected reward per arm, and selects actions using an upper-confidence-bound rule that balances exploration and exploitation; well suited here because context-to-reward relationships (e.g., “low SNR favours semantic modes”) are expected to be reasonably smooth.</w:t>
      </w:r>
    </w:p>
    <w:p>
      <w:pPr>
        <w:pStyle w:val="ListParagraph"/>
        <w:numPr>
          <w:ilvl w:val="0"/>
          <w:numId w:val="2"/>
        </w:numPr>
        <w:spacing w:after="100" w:line="290"/>
      </w:pPr>
      <w:r>
        <w:rPr>
          <w:color w:val="222222"/>
          <w:sz w:val="22"/>
          <w:szCs w:val="22"/>
        </w:rPr>
        <w:t xml:space="preserve">Thompson Sampling (linear / neural variants): maintains a posterior over each arm's reward function and samples from it to choose actions, often converging faster in practice and handling noisy rewards gracefully.</w:t>
      </w:r>
    </w:p>
    <w:p>
      <w:pPr>
        <w:pStyle w:val="ListParagraph"/>
        <w:numPr>
          <w:ilvl w:val="0"/>
          <w:numId w:val="2"/>
        </w:numPr>
        <w:spacing w:after="100" w:line="290"/>
      </w:pPr>
      <w:r>
        <w:rPr>
          <w:color w:val="222222"/>
          <w:sz w:val="22"/>
          <w:szCs w:val="22"/>
        </w:rPr>
        <w:t xml:space="preserve">ε-greedy contextual baseline: a simple exploration/exploitation baseline used to sanity-check that the more sophisticated bandit algorithms are actually earning their added complexity.</w:t>
      </w:r>
    </w:p>
    <w:p>
      <w:pPr>
        <w:spacing w:after="160" w:line="300"/>
        <w:jc w:val="both"/>
      </w:pPr>
      <w:r>
        <w:rPr>
          <w:b/>
          <w:bCs/>
          <w:color w:val="222222"/>
          <w:sz w:val="22"/>
          <w:szCs w:val="22"/>
        </w:rPr>
        <w:t xml:space="preserve">Secondary baseline — Deep Q-Network (DQN):</w:t>
      </w:r>
    </w:p>
    <w:p>
      <w:pPr>
        <w:pStyle w:val="ListParagraph"/>
        <w:numPr>
          <w:ilvl w:val="0"/>
          <w:numId w:val="2"/>
        </w:numPr>
        <w:spacing w:after="100" w:line="290"/>
      </w:pPr>
      <w:r>
        <w:rPr>
          <w:color w:val="222222"/>
          <w:sz w:val="22"/>
          <w:szCs w:val="22"/>
        </w:rPr>
        <w:t xml:space="preserve">Models the same decision as a Markov Decision Process, with UAV battery level and queue backlog carried forward as part of the state, allowing the agent to learn policies that anticipate how today's transmission choice affects tomorrow's energy and delay budget.</w:t>
      </w:r>
    </w:p>
    <w:p>
      <w:pPr>
        <w:pStyle w:val="ListParagraph"/>
        <w:numPr>
          <w:ilvl w:val="0"/>
          <w:numId w:val="2"/>
        </w:numPr>
        <w:spacing w:after="100" w:line="290"/>
      </w:pPr>
      <w:r>
        <w:rPr>
          <w:color w:val="222222"/>
          <w:sz w:val="22"/>
          <w:szCs w:val="22"/>
        </w:rPr>
        <w:t xml:space="preserve">Trained via experience replay and a target network in the standard way; included specifically as a point of comparison to the bandit formulation, not because the problem is assumed to need it.</w:t>
      </w:r>
    </w:p>
    <w:p>
      <w:pPr>
        <w:spacing w:after="160" w:line="300"/>
        <w:jc w:val="both"/>
      </w:pPr>
      <w:r>
        <w:rPr>
          <w:b/>
          <w:bCs/>
          <w:color w:val="222222"/>
          <w:sz w:val="22"/>
          <w:szCs w:val="22"/>
        </w:rPr>
        <w:t xml:space="preserve">Non-learning baselines (for context):</w:t>
      </w:r>
    </w:p>
    <w:p>
      <w:pPr>
        <w:pStyle w:val="ListParagraph"/>
        <w:numPr>
          <w:ilvl w:val="0"/>
          <w:numId w:val="2"/>
        </w:numPr>
        <w:spacing w:after="100" w:line="290"/>
      </w:pPr>
      <w:r>
        <w:rPr>
          <w:color w:val="222222"/>
          <w:sz w:val="22"/>
          <w:szCs w:val="22"/>
        </w:rPr>
        <w:t xml:space="preserve">Always-bit, always-semantic, and always-compressed-semantic fixed policies.</w:t>
      </w:r>
    </w:p>
    <w:p>
      <w:pPr>
        <w:pStyle w:val="ListParagraph"/>
        <w:numPr>
          <w:ilvl w:val="0"/>
          <w:numId w:val="2"/>
        </w:numPr>
        <w:spacing w:after="100" w:line="290"/>
      </w:pPr>
      <w:r>
        <w:rPr>
          <w:color w:val="222222"/>
          <w:sz w:val="22"/>
          <w:szCs w:val="22"/>
        </w:rPr>
        <w:t xml:space="preserve">Random mode selection.</w:t>
      </w:r>
    </w:p>
    <w:p>
      <w:pPr>
        <w:pStyle w:val="ListParagraph"/>
        <w:numPr>
          <w:ilvl w:val="0"/>
          <w:numId w:val="2"/>
        </w:numPr>
        <w:spacing w:after="100" w:line="290"/>
      </w:pPr>
      <w:r>
        <w:rPr>
          <w:color w:val="222222"/>
          <w:sz w:val="22"/>
          <w:szCs w:val="22"/>
        </w:rPr>
        <w:t xml:space="preserve">A hand-tuned threshold heuristic (e.g., “choose semantic if SNR is below X, compressed semantic if below Y, otherwise bit”), representing what a reasonable non-learning engineer might design by hand.</w:t>
      </w:r>
    </w:p>
    <w:p>
      <w:pPr>
        <w:pStyle w:val="Heading2"/>
        <w:spacing w:after="120" w:before="260"/>
      </w:pPr>
      <w:r>
        <w:rPr>
          <w:b/>
          <w:bCs/>
          <w:color w:val="3E5C89"/>
          <w:sz w:val="24"/>
          <w:szCs w:val="24"/>
        </w:rPr>
        <w:t xml:space="preserve">4.4  Simulation Environment and Training Procedure</w:t>
      </w:r>
    </w:p>
    <w:p>
      <w:pPr>
        <w:pStyle w:val="ListParagraph"/>
        <w:numPr>
          <w:ilvl w:val="0"/>
          <w:numId w:val="2"/>
        </w:numPr>
        <w:spacing w:after="100" w:line="290"/>
      </w:pPr>
      <w:r>
        <w:rPr>
          <w:color w:val="222222"/>
          <w:sz w:val="22"/>
          <w:szCs w:val="22"/>
        </w:rPr>
        <w:t xml:space="preserve">Channel model: a probabilistic line-of-sight / non-line-of-sight air-to-ground path-loss model with altitude-dependent statistics, generating time-varying SNR traces that the context extractor observes with realistic estimation noise.</w:t>
      </w:r>
    </w:p>
    <w:p>
      <w:pPr>
        <w:pStyle w:val="ListParagraph"/>
        <w:numPr>
          <w:ilvl w:val="0"/>
          <w:numId w:val="2"/>
        </w:numPr>
        <w:spacing w:after="100" w:line="290"/>
      </w:pPr>
      <w:r>
        <w:rPr>
          <w:color w:val="222222"/>
          <w:sz w:val="22"/>
          <w:szCs w:val="22"/>
        </w:rPr>
        <w:t xml:space="preserve">Task generator: produces a stream of tasks with randomized type (image / sensor reading / control message), urgency class, and deadline, following distributions chosen to reflect a mixed workload (mostly routine traffic with occasional urgent bursts).</w:t>
      </w:r>
    </w:p>
    <w:p>
      <w:pPr>
        <w:pStyle w:val="ListParagraph"/>
        <w:numPr>
          <w:ilvl w:val="0"/>
          <w:numId w:val="2"/>
        </w:numPr>
        <w:spacing w:after="100" w:line="290"/>
      </w:pPr>
      <w:r>
        <w:rPr>
          <w:color w:val="222222"/>
          <w:sz w:val="22"/>
          <w:szCs w:val="22"/>
        </w:rPr>
        <w:t xml:space="preserve">Semantic quality proxy: since training a full neural JSCC codec is outside the scope of this course project, semantic and compressed-semantic reconstruction quality is modelled using a lightweight proxy — either the reconstruction error of a small pretrained autoencoder, or a parametric quality-vs-compression-vs-SNR curve calibrated from published semantic-communication results — so the relative behaviour of the three modes remains realistic without requiring a full codec training pipeline.</w:t>
      </w:r>
    </w:p>
    <w:p>
      <w:pPr>
        <w:pStyle w:val="ListParagraph"/>
        <w:numPr>
          <w:ilvl w:val="0"/>
          <w:numId w:val="2"/>
        </w:numPr>
        <w:spacing w:after="100" w:line="290"/>
      </w:pPr>
      <w:r>
        <w:rPr>
          <w:color w:val="222222"/>
          <w:sz w:val="22"/>
          <w:szCs w:val="22"/>
        </w:rPr>
        <w:t xml:space="preserve">Training loop: the contextual bandit agent updates online, task by task, tracking cumulative reward and regret; the DQN baseline trains via mini-batch updates from a replay buffer over the same task stream, with periodic evaluation checkpoints so learning curves can be compared fairly.</w:t>
      </w:r>
    </w:p>
    <w:p>
      <w:pPr>
        <w:pStyle w:val="ListParagraph"/>
        <w:numPr>
          <w:ilvl w:val="0"/>
          <w:numId w:val="2"/>
        </w:numPr>
        <w:spacing w:after="100" w:line="290"/>
      </w:pPr>
      <w:r>
        <w:rPr>
          <w:color w:val="222222"/>
          <w:sz w:val="22"/>
          <w:szCs w:val="22"/>
        </w:rPr>
        <w:t xml:space="preserve">Implementation stack: Python, with scikit-learn / a light custom implementation for LinUCB and Thompson Sampling, and PyTorch for the DQN baseline.</w:t>
      </w:r>
    </w:p>
    <w:p>
      <w:pPr>
        <w:pStyle w:val="Heading2"/>
        <w:spacing w:after="120" w:before="260"/>
      </w:pPr>
      <w:r>
        <w:rPr>
          <w:b/>
          <w:bCs/>
          <w:color w:val="3E5C89"/>
          <w:sz w:val="24"/>
          <w:szCs w:val="24"/>
        </w:rPr>
        <w:t xml:space="preserve">4.5  Software Requirements and Execution Environment</w:t>
      </w:r>
    </w:p>
    <w:p>
      <w:pPr>
        <w:spacing w:after="160" w:line="300"/>
        <w:jc w:val="both"/>
      </w:pPr>
      <w:r>
        <w:rPr>
          <w:color w:val="222222"/>
          <w:sz w:val="22"/>
          <w:szCs w:val="22"/>
        </w:rPr>
        <w:t xml:space="preserve">The entire project is designed to run inside Google Colab, so there is no local installation to manage: Colab provides a hosted Jupyter notebook with Python pre-installed, free (though time-limited) GPU access, and most of the required scientific-computing stack already available out of the box. Only a small number of additional libraries need to be installed per-session with a single pip command, and code and results are kept safe across sessions by checkpointing to Google Drive rather than Colab's temporary local storage.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50"/>
        <w:gridCol w:w="1750"/>
        <w:gridCol w:w="1400"/>
        <w:gridCol w:w="2200"/>
        <w:gridCol w:w="2500"/>
      </w:tblGrid>
      <w:tr>
        <w:trPr>
          <w:tblHeader/>
        </w:trPr>
        <w:tc>
          <w:tcPr>
            <w:tcW w:type="dxa" w:w="1650"/>
            <w:shd w:fill="1B2A4A" w:color="auto" w:val="clear"/>
            <w:tcMar>
              <w:top w:type="dxa" w:w="90"/>
              <w:left w:type="dxa" w:w="110"/>
              <w:bottom w:type="dxa" w:w="90"/>
              <w:right w:type="dxa" w:w="110"/>
            </w:tcMar>
            <w:vAlign w:val="center"/>
          </w:tcPr>
          <w:p>
            <w:r>
              <w:rPr>
                <w:b/>
                <w:bCs/>
                <w:color w:val="FFFFFF"/>
                <w:sz w:val="19"/>
                <w:szCs w:val="19"/>
              </w:rPr>
              <w:t xml:space="preserve">Category</w:t>
            </w:r>
          </w:p>
        </w:tc>
        <w:tc>
          <w:tcPr>
            <w:tcW w:type="dxa" w:w="1750"/>
            <w:shd w:fill="1B2A4A" w:color="auto" w:val="clear"/>
            <w:tcMar>
              <w:top w:type="dxa" w:w="90"/>
              <w:left w:type="dxa" w:w="110"/>
              <w:bottom w:type="dxa" w:w="90"/>
              <w:right w:type="dxa" w:w="110"/>
            </w:tcMar>
            <w:vAlign w:val="center"/>
          </w:tcPr>
          <w:p>
            <w:r>
              <w:rPr>
                <w:b/>
                <w:bCs/>
                <w:color w:val="FFFFFF"/>
                <w:sz w:val="19"/>
                <w:szCs w:val="19"/>
              </w:rPr>
              <w:t xml:space="preserve">Tool / Library</w:t>
            </w:r>
          </w:p>
        </w:tc>
        <w:tc>
          <w:tcPr>
            <w:tcW w:type="dxa" w:w="1400"/>
            <w:shd w:fill="1B2A4A" w:color="auto" w:val="clear"/>
            <w:tcMar>
              <w:top w:type="dxa" w:w="90"/>
              <w:left w:type="dxa" w:w="110"/>
              <w:bottom w:type="dxa" w:w="90"/>
              <w:right w:type="dxa" w:w="110"/>
            </w:tcMar>
            <w:vAlign w:val="center"/>
          </w:tcPr>
          <w:p>
            <w:r>
              <w:rPr>
                <w:b/>
                <w:bCs/>
                <w:color w:val="FFFFFF"/>
                <w:sz w:val="19"/>
                <w:szCs w:val="19"/>
              </w:rPr>
              <w:t xml:space="preserve">In Colab by Default?</w:t>
            </w:r>
          </w:p>
        </w:tc>
        <w:tc>
          <w:tcPr>
            <w:tcW w:type="dxa" w:w="2200"/>
            <w:shd w:fill="1B2A4A" w:color="auto" w:val="clear"/>
            <w:tcMar>
              <w:top w:type="dxa" w:w="90"/>
              <w:left w:type="dxa" w:w="110"/>
              <w:bottom w:type="dxa" w:w="90"/>
              <w:right w:type="dxa" w:w="110"/>
            </w:tcMar>
            <w:vAlign w:val="center"/>
          </w:tcPr>
          <w:p>
            <w:r>
              <w:rPr>
                <w:b/>
                <w:bCs/>
                <w:color w:val="FFFFFF"/>
                <w:sz w:val="19"/>
                <w:szCs w:val="19"/>
              </w:rPr>
              <w:t xml:space="preserve">Setup Needed</w:t>
            </w:r>
          </w:p>
        </w:tc>
        <w:tc>
          <w:tcPr>
            <w:tcW w:type="dxa" w:w="2500"/>
            <w:shd w:fill="1B2A4A" w:color="auto" w:val="clear"/>
            <w:tcMar>
              <w:top w:type="dxa" w:w="90"/>
              <w:left w:type="dxa" w:w="110"/>
              <w:bottom w:type="dxa" w:w="90"/>
              <w:right w:type="dxa" w:w="110"/>
            </w:tcMar>
            <w:vAlign w:val="center"/>
          </w:tcPr>
          <w:p>
            <w:r>
              <w:rPr>
                <w:b/>
                <w:bCs/>
                <w:color w:val="FFFFFF"/>
                <w:sz w:val="19"/>
                <w:szCs w:val="19"/>
              </w:rPr>
              <w:t xml:space="preserve">Purpose</w:t>
            </w:r>
          </w:p>
        </w:tc>
      </w:tr>
      <w:tr>
        <w:tc>
          <w:tcPr>
            <w:tcW w:type="dxa" w:w="1650"/>
            <w:shd w:fill="EEF1F6" w:color="auto" w:val="clear"/>
            <w:tcMar>
              <w:top w:type="dxa" w:w="80"/>
              <w:left w:type="dxa" w:w="110"/>
              <w:bottom w:type="dxa" w:w="80"/>
              <w:right w:type="dxa" w:w="110"/>
            </w:tcMar>
            <w:vAlign w:val="center"/>
          </w:tcPr>
          <w:p>
            <w:pPr>
              <w:spacing w:line="260"/>
            </w:pPr>
            <w:r>
              <w:rPr>
                <w:b/>
                <w:bCs/>
                <w:color w:val="222222"/>
                <w:sz w:val="19"/>
                <w:szCs w:val="19"/>
              </w:rPr>
              <w:t xml:space="preserve">Environment</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Google Colab (hosted notebook, Python 3.11)</w:t>
            </w:r>
          </w:p>
        </w:tc>
        <w:tc>
          <w:tcPr>
            <w:tcW w:type="dxa" w:w="14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colab.research.google.com — no local install</w:t>
            </w:r>
          </w:p>
        </w:tc>
        <w:tc>
          <w:tcPr>
            <w:tcW w:type="dxa" w:w="25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Zero-setup cloud execution with free GPU access</w:t>
            </w:r>
          </w:p>
        </w:tc>
      </w:tr>
      <w:tr>
        <w:tc>
          <w:tcPr>
            <w:tcW w:type="dxa" w:w="1650"/>
            <w:tcMar>
              <w:top w:type="dxa" w:w="80"/>
              <w:left w:type="dxa" w:w="110"/>
              <w:bottom w:type="dxa" w:w="80"/>
              <w:right w:type="dxa" w:w="110"/>
            </w:tcMar>
            <w:vAlign w:val="center"/>
          </w:tcPr>
          <w:p>
            <w:pPr>
              <w:spacing w:line="260"/>
            </w:pPr>
            <w:r>
              <w:rPr>
                <w:b/>
                <w:bCs/>
                <w:color w:val="222222"/>
                <w:sz w:val="19"/>
                <w:szCs w:val="19"/>
              </w:rPr>
              <w:t xml:space="preserve">Runtime</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GPU runtime (T4)</w:t>
            </w:r>
          </w:p>
        </w:tc>
        <w:tc>
          <w:tcPr>
            <w:tcW w:type="dxa" w:w="1400"/>
            <w:tcMar>
              <w:top w:type="dxa" w:w="80"/>
              <w:left w:type="dxa" w:w="110"/>
              <w:bottom w:type="dxa" w:w="80"/>
              <w:right w:type="dxa" w:w="110"/>
            </w:tcMar>
            <w:vAlign w:val="center"/>
          </w:tcPr>
          <w:p>
            <w:pPr>
              <w:spacing w:line="260"/>
            </w:pPr>
            <w:r>
              <w:rPr>
                <w:b w:val="false"/>
                <w:bCs w:val="false"/>
                <w:color w:val="222222"/>
                <w:sz w:val="19"/>
                <w:szCs w:val="19"/>
              </w:rPr>
              <w:t xml:space="preserve">Off by default</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Runtime → Change runtime type → GPU</w:t>
            </w:r>
          </w:p>
        </w:tc>
        <w:tc>
          <w:tcPr>
            <w:tcW w:type="dxa" w:w="2500"/>
            <w:tcMar>
              <w:top w:type="dxa" w:w="80"/>
              <w:left w:type="dxa" w:w="110"/>
              <w:bottom w:type="dxa" w:w="80"/>
              <w:right w:type="dxa" w:w="110"/>
            </w:tcMar>
            <w:vAlign w:val="center"/>
          </w:tcPr>
          <w:p>
            <w:pPr>
              <w:spacing w:line="260"/>
            </w:pPr>
            <w:r>
              <w:rPr>
                <w:b w:val="false"/>
                <w:bCs w:val="false"/>
                <w:color w:val="222222"/>
                <w:sz w:val="19"/>
                <w:szCs w:val="19"/>
              </w:rPr>
              <w:t xml:space="preserve">Speeds up DQN and autoencoder training</w:t>
            </w:r>
          </w:p>
        </w:tc>
      </w:tr>
      <w:tr>
        <w:tc>
          <w:tcPr>
            <w:tcW w:type="dxa" w:w="1650"/>
            <w:shd w:fill="EEF1F6" w:color="auto" w:val="clear"/>
            <w:tcMar>
              <w:top w:type="dxa" w:w="80"/>
              <w:left w:type="dxa" w:w="110"/>
              <w:bottom w:type="dxa" w:w="80"/>
              <w:right w:type="dxa" w:w="110"/>
            </w:tcMar>
            <w:vAlign w:val="center"/>
          </w:tcPr>
          <w:p>
            <w:pPr>
              <w:spacing w:line="260"/>
            </w:pPr>
            <w:r>
              <w:rPr>
                <w:b/>
                <w:bCs/>
                <w:color w:val="222222"/>
                <w:sz w:val="19"/>
                <w:szCs w:val="19"/>
              </w:rPr>
              <w:t xml:space="preserve">Core numerical</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NumPy, SciPy</w:t>
            </w:r>
          </w:p>
        </w:tc>
        <w:tc>
          <w:tcPr>
            <w:tcW w:type="dxa" w:w="14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Yes</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w:t>
            </w:r>
          </w:p>
        </w:tc>
        <w:tc>
          <w:tcPr>
            <w:tcW w:type="dxa" w:w="25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Channel simulation, reward computation, sampling</w:t>
            </w:r>
          </w:p>
        </w:tc>
      </w:tr>
      <w:tr>
        <w:tc>
          <w:tcPr>
            <w:tcW w:type="dxa" w:w="1650"/>
            <w:tcMar>
              <w:top w:type="dxa" w:w="80"/>
              <w:left w:type="dxa" w:w="110"/>
              <w:bottom w:type="dxa" w:w="80"/>
              <w:right w:type="dxa" w:w="110"/>
            </w:tcMar>
            <w:vAlign w:val="center"/>
          </w:tcPr>
          <w:p>
            <w:pPr>
              <w:spacing w:line="260"/>
            </w:pPr>
            <w:r>
              <w:rPr>
                <w:b/>
                <w:bCs/>
                <w:color w:val="222222"/>
                <w:sz w:val="19"/>
                <w:szCs w:val="19"/>
              </w:rPr>
              <w:t xml:space="preserve">Data handling</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Pandas</w:t>
            </w:r>
          </w:p>
        </w:tc>
        <w:tc>
          <w:tcPr>
            <w:tcW w:type="dxa" w:w="1400"/>
            <w:tcMar>
              <w:top w:type="dxa" w:w="80"/>
              <w:left w:type="dxa" w:w="110"/>
              <w:bottom w:type="dxa" w:w="80"/>
              <w:right w:type="dxa" w:w="110"/>
            </w:tcMar>
            <w:vAlign w:val="center"/>
          </w:tcPr>
          <w:p>
            <w:pPr>
              <w:spacing w:line="260"/>
            </w:pPr>
            <w:r>
              <w:rPr>
                <w:b w:val="false"/>
                <w:bCs w:val="false"/>
                <w:color w:val="222222"/>
                <w:sz w:val="19"/>
                <w:szCs w:val="19"/>
              </w:rPr>
              <w:t xml:space="preserve">Yes</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w:t>
            </w:r>
          </w:p>
        </w:tc>
        <w:tc>
          <w:tcPr>
            <w:tcW w:type="dxa" w:w="2500"/>
            <w:tcMar>
              <w:top w:type="dxa" w:w="80"/>
              <w:left w:type="dxa" w:w="110"/>
              <w:bottom w:type="dxa" w:w="80"/>
              <w:right w:type="dxa" w:w="110"/>
            </w:tcMar>
            <w:vAlign w:val="center"/>
          </w:tcPr>
          <w:p>
            <w:pPr>
              <w:spacing w:line="260"/>
            </w:pPr>
            <w:r>
              <w:rPr>
                <w:b w:val="false"/>
                <w:bCs w:val="false"/>
                <w:color w:val="222222"/>
                <w:sz w:val="19"/>
                <w:szCs w:val="19"/>
              </w:rPr>
              <w:t xml:space="preserve">Logging per-task results, tracking regret over time</w:t>
            </w:r>
          </w:p>
        </w:tc>
      </w:tr>
      <w:tr>
        <w:tc>
          <w:tcPr>
            <w:tcW w:type="dxa" w:w="1650"/>
            <w:shd w:fill="EEF1F6" w:color="auto" w:val="clear"/>
            <w:tcMar>
              <w:top w:type="dxa" w:w="80"/>
              <w:left w:type="dxa" w:w="110"/>
              <w:bottom w:type="dxa" w:w="80"/>
              <w:right w:type="dxa" w:w="110"/>
            </w:tcMar>
            <w:vAlign w:val="center"/>
          </w:tcPr>
          <w:p>
            <w:pPr>
              <w:spacing w:line="260"/>
            </w:pPr>
            <w:r>
              <w:rPr>
                <w:b/>
                <w:bCs/>
                <w:color w:val="222222"/>
                <w:sz w:val="19"/>
                <w:szCs w:val="19"/>
              </w:rPr>
              <w:t xml:space="preserve">Visualization</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Matplotlib, Seaborn</w:t>
            </w:r>
          </w:p>
        </w:tc>
        <w:tc>
          <w:tcPr>
            <w:tcW w:type="dxa" w:w="14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Yes</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w:t>
            </w:r>
          </w:p>
        </w:tc>
        <w:tc>
          <w:tcPr>
            <w:tcW w:type="dxa" w:w="25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Regret curves, reward and mode-distribution plots</w:t>
            </w:r>
          </w:p>
        </w:tc>
      </w:tr>
      <w:tr>
        <w:tc>
          <w:tcPr>
            <w:tcW w:type="dxa" w:w="1650"/>
            <w:tcMar>
              <w:top w:type="dxa" w:w="80"/>
              <w:left w:type="dxa" w:w="110"/>
              <w:bottom w:type="dxa" w:w="80"/>
              <w:right w:type="dxa" w:w="110"/>
            </w:tcMar>
            <w:vAlign w:val="center"/>
          </w:tcPr>
          <w:p>
            <w:pPr>
              <w:spacing w:line="260"/>
            </w:pPr>
            <w:r>
              <w:rPr>
                <w:b/>
                <w:bCs/>
                <w:color w:val="222222"/>
                <w:sz w:val="19"/>
                <w:szCs w:val="19"/>
              </w:rPr>
              <w:t xml:space="preserve">Deep learning</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PyTorch (GPU build)</w:t>
            </w:r>
          </w:p>
        </w:tc>
        <w:tc>
          <w:tcPr>
            <w:tcW w:type="dxa" w:w="1400"/>
            <w:tcMar>
              <w:top w:type="dxa" w:w="80"/>
              <w:left w:type="dxa" w:w="110"/>
              <w:bottom w:type="dxa" w:w="80"/>
              <w:right w:type="dxa" w:w="110"/>
            </w:tcMar>
            <w:vAlign w:val="center"/>
          </w:tcPr>
          <w:p>
            <w:pPr>
              <w:spacing w:line="260"/>
            </w:pPr>
            <w:r>
              <w:rPr>
                <w:b w:val="false"/>
                <w:bCs w:val="false"/>
                <w:color w:val="222222"/>
                <w:sz w:val="19"/>
                <w:szCs w:val="19"/>
              </w:rPr>
              <w:t xml:space="preserve">Yes</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w:t>
            </w:r>
          </w:p>
        </w:tc>
        <w:tc>
          <w:tcPr>
            <w:tcW w:type="dxa" w:w="2500"/>
            <w:tcMar>
              <w:top w:type="dxa" w:w="80"/>
              <w:left w:type="dxa" w:w="110"/>
              <w:bottom w:type="dxa" w:w="80"/>
              <w:right w:type="dxa" w:w="110"/>
            </w:tcMar>
            <w:vAlign w:val="center"/>
          </w:tcPr>
          <w:p>
            <w:pPr>
              <w:spacing w:line="260"/>
            </w:pPr>
            <w:r>
              <w:rPr>
                <w:b w:val="false"/>
                <w:bCs w:val="false"/>
                <w:color w:val="222222"/>
                <w:sz w:val="19"/>
                <w:szCs w:val="19"/>
              </w:rPr>
              <w:t xml:space="preserve">DQN baseline; semantic-quality proxy autoencoder</w:t>
            </w:r>
          </w:p>
        </w:tc>
      </w:tr>
      <w:tr>
        <w:tc>
          <w:tcPr>
            <w:tcW w:type="dxa" w:w="1650"/>
            <w:shd w:fill="EEF1F6" w:color="auto" w:val="clear"/>
            <w:tcMar>
              <w:top w:type="dxa" w:w="80"/>
              <w:left w:type="dxa" w:w="110"/>
              <w:bottom w:type="dxa" w:w="80"/>
              <w:right w:type="dxa" w:w="110"/>
            </w:tcMar>
            <w:vAlign w:val="center"/>
          </w:tcPr>
          <w:p>
            <w:pPr>
              <w:spacing w:line="260"/>
            </w:pPr>
            <w:r>
              <w:rPr>
                <w:b/>
                <w:bCs/>
                <w:color w:val="222222"/>
                <w:sz w:val="19"/>
                <w:szCs w:val="19"/>
              </w:rPr>
              <w:t xml:space="preserve">RL environment interface</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Gymnasium</w:t>
            </w:r>
          </w:p>
        </w:tc>
        <w:tc>
          <w:tcPr>
            <w:tcW w:type="dxa" w:w="14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No</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!pip install gymnasium</w:t>
            </w:r>
          </w:p>
        </w:tc>
        <w:tc>
          <w:tcPr>
            <w:tcW w:type="dxa" w:w="25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Common interface so bandit and DQN agents see the same environment</w:t>
            </w:r>
          </w:p>
        </w:tc>
      </w:tr>
      <w:tr>
        <w:tc>
          <w:tcPr>
            <w:tcW w:type="dxa" w:w="1650"/>
            <w:tcMar>
              <w:top w:type="dxa" w:w="80"/>
              <w:left w:type="dxa" w:w="110"/>
              <w:bottom w:type="dxa" w:w="80"/>
              <w:right w:type="dxa" w:w="110"/>
            </w:tcMar>
            <w:vAlign w:val="center"/>
          </w:tcPr>
          <w:p>
            <w:pPr>
              <w:spacing w:line="260"/>
            </w:pPr>
            <w:r>
              <w:rPr>
                <w:b/>
                <w:bCs/>
                <w:color w:val="222222"/>
                <w:sz w:val="19"/>
                <w:szCs w:val="19"/>
              </w:rPr>
              <w:t xml:space="preserve">Verified DQN implementation</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Stable-Baselines3</w:t>
            </w:r>
          </w:p>
        </w:tc>
        <w:tc>
          <w:tcPr>
            <w:tcW w:type="dxa" w:w="1400"/>
            <w:tcMar>
              <w:top w:type="dxa" w:w="80"/>
              <w:left w:type="dxa" w:w="110"/>
              <w:bottom w:type="dxa" w:w="80"/>
              <w:right w:type="dxa" w:w="110"/>
            </w:tcMar>
            <w:vAlign w:val="center"/>
          </w:tcPr>
          <w:p>
            <w:pPr>
              <w:spacing w:line="260"/>
            </w:pPr>
            <w:r>
              <w:rPr>
                <w:b w:val="false"/>
                <w:bCs w:val="false"/>
                <w:color w:val="222222"/>
                <w:sz w:val="19"/>
                <w:szCs w:val="19"/>
              </w:rPr>
              <w:t xml:space="preserve">No</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!pip install stable-baselines3</w:t>
            </w:r>
          </w:p>
        </w:tc>
        <w:tc>
          <w:tcPr>
            <w:tcW w:type="dxa" w:w="2500"/>
            <w:tcMar>
              <w:top w:type="dxa" w:w="80"/>
              <w:left w:type="dxa" w:w="110"/>
              <w:bottom w:type="dxa" w:w="80"/>
              <w:right w:type="dxa" w:w="110"/>
            </w:tcMar>
            <w:vAlign w:val="center"/>
          </w:tcPr>
          <w:p>
            <w:pPr>
              <w:spacing w:line="260"/>
            </w:pPr>
            <w:r>
              <w:rPr>
                <w:b w:val="false"/>
                <w:bCs w:val="false"/>
                <w:color w:val="222222"/>
                <w:sz w:val="19"/>
                <w:szCs w:val="19"/>
              </w:rPr>
              <w:t xml:space="preserve">Avoids re-implementing replay buffer / target network from scratch</w:t>
            </w:r>
          </w:p>
        </w:tc>
      </w:tr>
      <w:tr>
        <w:tc>
          <w:tcPr>
            <w:tcW w:type="dxa" w:w="1650"/>
            <w:shd w:fill="EEF1F6" w:color="auto" w:val="clear"/>
            <w:tcMar>
              <w:top w:type="dxa" w:w="80"/>
              <w:left w:type="dxa" w:w="110"/>
              <w:bottom w:type="dxa" w:w="80"/>
              <w:right w:type="dxa" w:w="110"/>
            </w:tcMar>
            <w:vAlign w:val="center"/>
          </w:tcPr>
          <w:p>
            <w:pPr>
              <w:spacing w:line="260"/>
            </w:pPr>
            <w:r>
              <w:rPr>
                <w:b/>
                <w:bCs/>
                <w:color w:val="222222"/>
                <w:sz w:val="19"/>
                <w:szCs w:val="19"/>
              </w:rPr>
              <w:t xml:space="preserve">Contextual bandit library (optional)</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mabwiser</w:t>
            </w:r>
          </w:p>
        </w:tc>
        <w:tc>
          <w:tcPr>
            <w:tcW w:type="dxa" w:w="14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No</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!pip install mabwiser</w:t>
            </w:r>
          </w:p>
        </w:tc>
        <w:tc>
          <w:tcPr>
            <w:tcW w:type="dxa" w:w="25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Ready-made LinUCB / Thompson Sampling if not hand-coding</w:t>
            </w:r>
          </w:p>
        </w:tc>
      </w:tr>
      <w:tr>
        <w:tc>
          <w:tcPr>
            <w:tcW w:type="dxa" w:w="1650"/>
            <w:tcMar>
              <w:top w:type="dxa" w:w="80"/>
              <w:left w:type="dxa" w:w="110"/>
              <w:bottom w:type="dxa" w:w="80"/>
              <w:right w:type="dxa" w:w="110"/>
            </w:tcMar>
            <w:vAlign w:val="center"/>
          </w:tcPr>
          <w:p>
            <w:pPr>
              <w:spacing w:line="260"/>
            </w:pPr>
            <w:r>
              <w:rPr>
                <w:b/>
                <w:bCs/>
                <w:color w:val="222222"/>
                <w:sz w:val="19"/>
                <w:szCs w:val="19"/>
              </w:rPr>
              <w:t xml:space="preserve">Persistent storage</w:t>
            </w:r>
          </w:p>
        </w:tc>
        <w:tc>
          <w:tcPr>
            <w:tcW w:type="dxa" w:w="1750"/>
            <w:tcMar>
              <w:top w:type="dxa" w:w="80"/>
              <w:left w:type="dxa" w:w="110"/>
              <w:bottom w:type="dxa" w:w="80"/>
              <w:right w:type="dxa" w:w="110"/>
            </w:tcMar>
            <w:vAlign w:val="center"/>
          </w:tcPr>
          <w:p>
            <w:pPr>
              <w:spacing w:line="260"/>
            </w:pPr>
            <w:r>
              <w:rPr>
                <w:b w:val="false"/>
                <w:bCs w:val="false"/>
                <w:color w:val="222222"/>
                <w:sz w:val="19"/>
                <w:szCs w:val="19"/>
              </w:rPr>
              <w:t xml:space="preserve">Google Drive</w:t>
            </w:r>
          </w:p>
        </w:tc>
        <w:tc>
          <w:tcPr>
            <w:tcW w:type="dxa" w:w="1400"/>
            <w:tcMar>
              <w:top w:type="dxa" w:w="80"/>
              <w:left w:type="dxa" w:w="110"/>
              <w:bottom w:type="dxa" w:w="80"/>
              <w:right w:type="dxa" w:w="110"/>
            </w:tcMar>
            <w:vAlign w:val="center"/>
          </w:tcPr>
          <w:p>
            <w:pPr>
              <w:spacing w:line="260"/>
            </w:pPr>
            <w:r>
              <w:rPr>
                <w:b w:val="false"/>
                <w:bCs w:val="false"/>
                <w:color w:val="222222"/>
                <w:sz w:val="19"/>
                <w:szCs w:val="19"/>
              </w:rPr>
              <w:t xml:space="preserve">Built-in</w:t>
            </w:r>
          </w:p>
        </w:tc>
        <w:tc>
          <w:tcPr>
            <w:tcW w:type="dxa" w:w="2200"/>
            <w:tcMar>
              <w:top w:type="dxa" w:w="80"/>
              <w:left w:type="dxa" w:w="110"/>
              <w:bottom w:type="dxa" w:w="80"/>
              <w:right w:type="dxa" w:w="110"/>
            </w:tcMar>
            <w:vAlign w:val="center"/>
          </w:tcPr>
          <w:p>
            <w:pPr>
              <w:spacing w:line="260"/>
            </w:pPr>
            <w:r>
              <w:rPr>
                <w:b w:val="false"/>
                <w:bCs w:val="false"/>
                <w:color w:val="222222"/>
                <w:sz w:val="19"/>
                <w:szCs w:val="19"/>
              </w:rPr>
              <w:t xml:space="preserve">drive.mount('/content/drive')</w:t>
            </w:r>
          </w:p>
        </w:tc>
        <w:tc>
          <w:tcPr>
            <w:tcW w:type="dxa" w:w="2500"/>
            <w:tcMar>
              <w:top w:type="dxa" w:w="80"/>
              <w:left w:type="dxa" w:w="110"/>
              <w:bottom w:type="dxa" w:w="80"/>
              <w:right w:type="dxa" w:w="110"/>
            </w:tcMar>
            <w:vAlign w:val="center"/>
          </w:tcPr>
          <w:p>
            <w:pPr>
              <w:spacing w:line="260"/>
            </w:pPr>
            <w:r>
              <w:rPr>
                <w:b w:val="false"/>
                <w:bCs w:val="false"/>
                <w:color w:val="222222"/>
                <w:sz w:val="19"/>
                <w:szCs w:val="19"/>
              </w:rPr>
              <w:t xml:space="preserve">Checkpoint models, logs, and plots across sessions</w:t>
            </w:r>
          </w:p>
        </w:tc>
      </w:tr>
      <w:tr>
        <w:tc>
          <w:tcPr>
            <w:tcW w:type="dxa" w:w="1650"/>
            <w:shd w:fill="EEF1F6" w:color="auto" w:val="clear"/>
            <w:tcMar>
              <w:top w:type="dxa" w:w="80"/>
              <w:left w:type="dxa" w:w="110"/>
              <w:bottom w:type="dxa" w:w="80"/>
              <w:right w:type="dxa" w:w="110"/>
            </w:tcMar>
            <w:vAlign w:val="center"/>
          </w:tcPr>
          <w:p>
            <w:pPr>
              <w:spacing w:line="260"/>
            </w:pPr>
            <w:r>
              <w:rPr>
                <w:b/>
                <w:bCs/>
                <w:color w:val="222222"/>
                <w:sz w:val="19"/>
                <w:szCs w:val="19"/>
              </w:rPr>
              <w:t xml:space="preserve">Version control</w:t>
            </w:r>
          </w:p>
        </w:tc>
        <w:tc>
          <w:tcPr>
            <w:tcW w:type="dxa" w:w="175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Git</w:t>
            </w:r>
          </w:p>
        </w:tc>
        <w:tc>
          <w:tcPr>
            <w:tcW w:type="dxa" w:w="14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Preinstalled CLI</w:t>
            </w:r>
          </w:p>
        </w:tc>
        <w:tc>
          <w:tcPr>
            <w:tcW w:type="dxa" w:w="22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!git clone &lt;repo-url&gt;</w:t>
            </w:r>
          </w:p>
        </w:tc>
        <w:tc>
          <w:tcPr>
            <w:tcW w:type="dxa" w:w="25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Pull/push code; keeps the project reproducible</w:t>
            </w:r>
          </w:p>
        </w:tc>
      </w:tr>
    </w:tbl>
    <w:p>
      <w:pPr>
        <w:spacing w:after="300" w:before="100"/>
        <w:jc w:val="center"/>
      </w:pPr>
      <w:r>
        <w:rPr>
          <w:i/>
          <w:iCs/>
          <w:color w:val="5B6472"/>
          <w:sz w:val="19"/>
          <w:szCs w:val="19"/>
        </w:rPr>
        <w:t xml:space="preserve">Table 4. Software stack, availability in Google Colab, and setup required.</w:t>
      </w:r>
    </w:p>
    <w:p>
      <w:pPr>
        <w:pStyle w:val="ListParagraph"/>
        <w:numPr>
          <w:ilvl w:val="0"/>
          <w:numId w:val="2"/>
        </w:numPr>
        <w:spacing w:after="100" w:line="290"/>
      </w:pPr>
      <w:r>
        <w:rPr>
          <w:color w:val="222222"/>
          <w:sz w:val="22"/>
          <w:szCs w:val="22"/>
        </w:rPr>
        <w:t xml:space="preserve">Enable GPU acceleration once per session via Runtime → Change runtime type → Hardware accelerator → GPU (T4), which meaningfully speeds up DQN and autoencoder training.</w:t>
      </w:r>
    </w:p>
    <w:p>
      <w:pPr>
        <w:pStyle w:val="ListParagraph"/>
        <w:numPr>
          <w:ilvl w:val="0"/>
          <w:numId w:val="2"/>
        </w:numPr>
        <w:spacing w:after="100" w:line="290"/>
      </w:pPr>
      <w:r>
        <w:rPr>
          <w:color w:val="222222"/>
          <w:sz w:val="22"/>
          <w:szCs w:val="22"/>
        </w:rPr>
        <w:t xml:space="preserve">Mount Google Drive at the start of each session (from google.colab import drive; drive.mount('/content/drive')) and save model checkpoints, training logs, and plots there — Colab's local /content storage is wiped whenever the runtime disconnects or resets.</w:t>
      </w:r>
    </w:p>
    <w:p>
      <w:pPr>
        <w:pStyle w:val="ListParagraph"/>
        <w:numPr>
          <w:ilvl w:val="0"/>
          <w:numId w:val="2"/>
        </w:numPr>
        <w:spacing w:after="100" w:line="290"/>
      </w:pPr>
      <w:r>
        <w:rPr>
          <w:color w:val="222222"/>
          <w:sz w:val="22"/>
          <w:szCs w:val="22"/>
        </w:rPr>
        <w:t xml:space="preserve">Free-tier Colab sessions can disconnect after a period of inactivity or on hitting a maximum session length, so the training loop should checkpoint periodically (e.g., every N episodes) rather than assuming a single uninterrupted run.</w:t>
      </w:r>
    </w:p>
    <w:p>
      <w:pPr>
        <w:pStyle w:val="Heading1"/>
        <w:pBdr>
          <w:bottom w:val="single" w:color="B08D57" w:sz="8" w:space="4"/>
        </w:pBdr>
        <w:spacing w:after="180" w:before="380"/>
      </w:pPr>
      <w:r>
        <w:rPr>
          <w:b/>
          <w:bCs/>
          <w:color w:val="1B2A4A"/>
          <w:sz w:val="30"/>
          <w:szCs w:val="30"/>
        </w:rPr>
        <w:t xml:space="preserve">5.  Evaluation Plan</w:t>
      </w:r>
    </w:p>
    <w:p>
      <w:pPr>
        <w:pStyle w:val="Heading2"/>
        <w:spacing w:after="120" w:before="260"/>
      </w:pPr>
      <w:r>
        <w:rPr>
          <w:b/>
          <w:bCs/>
          <w:color w:val="3E5C89"/>
          <w:sz w:val="24"/>
          <w:szCs w:val="24"/>
        </w:rPr>
        <w:t xml:space="preserve">5.1  Metrics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B2A4A" w:color="auto" w:val="clear"/>
            <w:tcMar>
              <w:top w:type="dxa" w:w="90"/>
              <w:left w:type="dxa" w:w="110"/>
              <w:bottom w:type="dxa" w:w="90"/>
              <w:right w:type="dxa" w:w="110"/>
            </w:tcMar>
            <w:vAlign w:val="center"/>
          </w:tcPr>
          <w:p>
            <w:r>
              <w:rPr>
                <w:b/>
                <w:bCs/>
                <w:color w:val="FFFFFF"/>
                <w:sz w:val="19"/>
                <w:szCs w:val="19"/>
              </w:rPr>
              <w:t xml:space="preserve">Metric</w:t>
            </w:r>
          </w:p>
        </w:tc>
        <w:tc>
          <w:tcPr>
            <w:tcW w:type="dxa" w:w="6900"/>
            <w:shd w:fill="1B2A4A" w:color="auto" w:val="clear"/>
            <w:tcMar>
              <w:top w:type="dxa" w:w="90"/>
              <w:left w:type="dxa" w:w="110"/>
              <w:bottom w:type="dxa" w:w="90"/>
              <w:right w:type="dxa" w:w="110"/>
            </w:tcMar>
            <w:vAlign w:val="center"/>
          </w:tcPr>
          <w:p>
            <w:r>
              <w:rPr>
                <w:b/>
                <w:bCs/>
                <w:color w:val="FFFFFF"/>
                <w:sz w:val="19"/>
                <w:szCs w:val="19"/>
              </w:rPr>
              <w:t xml:space="preserve">What It Tells Us</w:t>
            </w:r>
          </w:p>
        </w:tc>
      </w:tr>
      <w:tr>
        <w:tc>
          <w:tcPr>
            <w:tcW w:type="dxa" w:w="2600"/>
            <w:shd w:fill="EEF1F6" w:color="auto" w:val="clear"/>
            <w:tcMar>
              <w:top w:type="dxa" w:w="80"/>
              <w:left w:type="dxa" w:w="110"/>
              <w:bottom w:type="dxa" w:w="80"/>
              <w:right w:type="dxa" w:w="110"/>
            </w:tcMar>
            <w:vAlign w:val="center"/>
          </w:tcPr>
          <w:p>
            <w:pPr>
              <w:spacing w:line="260"/>
            </w:pPr>
            <w:r>
              <w:rPr>
                <w:b/>
                <w:bCs/>
                <w:color w:val="222222"/>
                <w:sz w:val="19"/>
                <w:szCs w:val="19"/>
              </w:rPr>
              <w:t xml:space="preserve">Cumulative reward</w:t>
            </w:r>
          </w:p>
        </w:tc>
        <w:tc>
          <w:tcPr>
            <w:tcW w:type="dxa" w:w="69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Overall utility accrued by the policy over the task stream; the primary training signal.</w:t>
            </w:r>
          </w:p>
        </w:tc>
      </w:tr>
      <w:tr>
        <w:tc>
          <w:tcPr>
            <w:tcW w:type="dxa" w:w="2600"/>
            <w:tcMar>
              <w:top w:type="dxa" w:w="80"/>
              <w:left w:type="dxa" w:w="110"/>
              <w:bottom w:type="dxa" w:w="80"/>
              <w:right w:type="dxa" w:w="110"/>
            </w:tcMar>
            <w:vAlign w:val="center"/>
          </w:tcPr>
          <w:p>
            <w:pPr>
              <w:spacing w:line="260"/>
            </w:pPr>
            <w:r>
              <w:rPr>
                <w:b/>
                <w:bCs/>
                <w:color w:val="222222"/>
                <w:sz w:val="19"/>
                <w:szCs w:val="19"/>
              </w:rPr>
              <w:t xml:space="preserve">Regret vs. oracle</w:t>
            </w:r>
          </w:p>
        </w:tc>
        <w:tc>
          <w:tcPr>
            <w:tcW w:type="dxa" w:w="6900"/>
            <w:tcMar>
              <w:top w:type="dxa" w:w="80"/>
              <w:left w:type="dxa" w:w="110"/>
              <w:bottom w:type="dxa" w:w="80"/>
              <w:right w:type="dxa" w:w="110"/>
            </w:tcMar>
            <w:vAlign w:val="center"/>
          </w:tcPr>
          <w:p>
            <w:pPr>
              <w:spacing w:line="260"/>
            </w:pPr>
            <w:r>
              <w:rPr>
                <w:b w:val="false"/>
                <w:bCs w:val="false"/>
                <w:color w:val="222222"/>
                <w:sz w:val="19"/>
                <w:szCs w:val="19"/>
              </w:rPr>
              <w:t xml:space="preserve">Gap between the learned policy and a hypothetical policy with perfect foreknowledge of channel and task outcomes; standard bandit convergence metric.</w:t>
            </w:r>
          </w:p>
        </w:tc>
      </w:tr>
      <w:tr>
        <w:tc>
          <w:tcPr>
            <w:tcW w:type="dxa" w:w="2600"/>
            <w:shd w:fill="EEF1F6" w:color="auto" w:val="clear"/>
            <w:tcMar>
              <w:top w:type="dxa" w:w="80"/>
              <w:left w:type="dxa" w:w="110"/>
              <w:bottom w:type="dxa" w:w="80"/>
              <w:right w:type="dxa" w:w="110"/>
            </w:tcMar>
            <w:vAlign w:val="center"/>
          </w:tcPr>
          <w:p>
            <w:pPr>
              <w:spacing w:line="260"/>
            </w:pPr>
            <w:r>
              <w:rPr>
                <w:b/>
                <w:bCs/>
                <w:color w:val="222222"/>
                <w:sz w:val="19"/>
                <w:szCs w:val="19"/>
              </w:rPr>
              <w:t xml:space="preserve">Task success rate</w:t>
            </w:r>
          </w:p>
        </w:tc>
        <w:tc>
          <w:tcPr>
            <w:tcW w:type="dxa" w:w="69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Fraction of tasks that met their fidelity requirement at the receiver (bit-exact for bit tx., above-threshold semantic score for the other two modes).</w:t>
            </w:r>
          </w:p>
        </w:tc>
      </w:tr>
      <w:tr>
        <w:tc>
          <w:tcPr>
            <w:tcW w:type="dxa" w:w="2600"/>
            <w:tcMar>
              <w:top w:type="dxa" w:w="80"/>
              <w:left w:type="dxa" w:w="110"/>
              <w:bottom w:type="dxa" w:w="80"/>
              <w:right w:type="dxa" w:w="110"/>
            </w:tcMar>
            <w:vAlign w:val="center"/>
          </w:tcPr>
          <w:p>
            <w:pPr>
              <w:spacing w:line="260"/>
            </w:pPr>
            <w:r>
              <w:rPr>
                <w:b/>
                <w:bCs/>
                <w:color w:val="222222"/>
                <w:sz w:val="19"/>
                <w:szCs w:val="19"/>
              </w:rPr>
              <w:t xml:space="preserve">Average end-to-end latency</w:t>
            </w:r>
          </w:p>
        </w:tc>
        <w:tc>
          <w:tcPr>
            <w:tcW w:type="dxa" w:w="6900"/>
            <w:tcMar>
              <w:top w:type="dxa" w:w="80"/>
              <w:left w:type="dxa" w:w="110"/>
              <w:bottom w:type="dxa" w:w="80"/>
              <w:right w:type="dxa" w:w="110"/>
            </w:tcMar>
            <w:vAlign w:val="center"/>
          </w:tcPr>
          <w:p>
            <w:pPr>
              <w:spacing w:line="260"/>
            </w:pPr>
            <w:r>
              <w:rPr>
                <w:b w:val="false"/>
                <w:bCs w:val="false"/>
                <w:color w:val="222222"/>
                <w:sz w:val="19"/>
                <w:szCs w:val="19"/>
              </w:rPr>
              <w:t xml:space="preserve">Encoding + transmission + decoding time per task, split out by transmission mode and urgency class.</w:t>
            </w:r>
          </w:p>
        </w:tc>
      </w:tr>
      <w:tr>
        <w:tc>
          <w:tcPr>
            <w:tcW w:type="dxa" w:w="2600"/>
            <w:shd w:fill="EEF1F6" w:color="auto" w:val="clear"/>
            <w:tcMar>
              <w:top w:type="dxa" w:w="80"/>
              <w:left w:type="dxa" w:w="110"/>
              <w:bottom w:type="dxa" w:w="80"/>
              <w:right w:type="dxa" w:w="110"/>
            </w:tcMar>
            <w:vAlign w:val="center"/>
          </w:tcPr>
          <w:p>
            <w:pPr>
              <w:spacing w:line="260"/>
            </w:pPr>
            <w:r>
              <w:rPr>
                <w:b/>
                <w:bCs/>
                <w:color w:val="222222"/>
                <w:sz w:val="19"/>
                <w:szCs w:val="19"/>
              </w:rPr>
              <w:t xml:space="preserve">Energy consumption per task</w:t>
            </w:r>
          </w:p>
        </w:tc>
        <w:tc>
          <w:tcPr>
            <w:tcW w:type="dxa" w:w="69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Radio + on-board inference energy, tracked to reflect the UAV's battery constraint.</w:t>
            </w:r>
          </w:p>
        </w:tc>
      </w:tr>
      <w:tr>
        <w:tc>
          <w:tcPr>
            <w:tcW w:type="dxa" w:w="2600"/>
            <w:tcMar>
              <w:top w:type="dxa" w:w="80"/>
              <w:left w:type="dxa" w:w="110"/>
              <w:bottom w:type="dxa" w:w="80"/>
              <w:right w:type="dxa" w:w="110"/>
            </w:tcMar>
            <w:vAlign w:val="center"/>
          </w:tcPr>
          <w:p>
            <w:pPr>
              <w:spacing w:line="260"/>
            </w:pPr>
            <w:r>
              <w:rPr>
                <w:b/>
                <w:bCs/>
                <w:color w:val="222222"/>
                <w:sz w:val="19"/>
                <w:szCs w:val="19"/>
              </w:rPr>
              <w:t xml:space="preserve">Semantic Quality of Experience (SQoE)</w:t>
            </w:r>
          </w:p>
        </w:tc>
        <w:tc>
          <w:tcPr>
            <w:tcW w:type="dxa" w:w="6900"/>
            <w:tcMar>
              <w:top w:type="dxa" w:w="80"/>
              <w:left w:type="dxa" w:w="110"/>
              <w:bottom w:type="dxa" w:w="80"/>
              <w:right w:type="dxa" w:w="110"/>
            </w:tcMar>
            <w:vAlign w:val="center"/>
          </w:tcPr>
          <w:p>
            <w:pPr>
              <w:spacing w:line="260"/>
            </w:pPr>
            <w:r>
              <w:rPr>
                <w:b w:val="false"/>
                <w:bCs w:val="false"/>
                <w:color w:val="222222"/>
                <w:sz w:val="19"/>
                <w:szCs w:val="19"/>
              </w:rPr>
              <w:t xml:space="preserve">Achieved semantic fidelity relative to the task's minimum requirement, for semantic and compressed-semantic choices.</w:t>
            </w:r>
          </w:p>
        </w:tc>
      </w:tr>
      <w:tr>
        <w:tc>
          <w:tcPr>
            <w:tcW w:type="dxa" w:w="2600"/>
            <w:shd w:fill="EEF1F6" w:color="auto" w:val="clear"/>
            <w:tcMar>
              <w:top w:type="dxa" w:w="80"/>
              <w:left w:type="dxa" w:w="110"/>
              <w:bottom w:type="dxa" w:w="80"/>
              <w:right w:type="dxa" w:w="110"/>
            </w:tcMar>
            <w:vAlign w:val="center"/>
          </w:tcPr>
          <w:p>
            <w:pPr>
              <w:spacing w:line="260"/>
            </w:pPr>
            <w:r>
              <w:rPr>
                <w:b/>
                <w:bCs/>
                <w:color w:val="222222"/>
                <w:sz w:val="19"/>
                <w:szCs w:val="19"/>
              </w:rPr>
              <w:t xml:space="preserve">Mode-selection distribution</w:t>
            </w:r>
          </w:p>
        </w:tc>
        <w:tc>
          <w:tcPr>
            <w:tcW w:type="dxa" w:w="6900"/>
            <w:shd w:fill="EEF1F6" w:color="auto" w:val="clear"/>
            <w:tcMar>
              <w:top w:type="dxa" w:w="80"/>
              <w:left w:type="dxa" w:w="110"/>
              <w:bottom w:type="dxa" w:w="80"/>
              <w:right w:type="dxa" w:w="110"/>
            </w:tcMar>
            <w:vAlign w:val="center"/>
          </w:tcPr>
          <w:p>
            <w:pPr>
              <w:spacing w:line="260"/>
            </w:pPr>
            <w:r>
              <w:rPr>
                <w:b w:val="false"/>
                <w:bCs w:val="false"/>
                <w:color w:val="222222"/>
                <w:sz w:val="19"/>
                <w:szCs w:val="19"/>
              </w:rPr>
              <w:t xml:space="preserve">How often each of the three modes is chosen, broken down by channel regime and urgency class, to sanity-check that the policy is learning sensible, interpretable behaviour.</w:t>
            </w:r>
          </w:p>
        </w:tc>
      </w:tr>
    </w:tbl>
    <w:p>
      <w:pPr>
        <w:spacing w:after="300" w:before="100"/>
        <w:jc w:val="center"/>
      </w:pPr>
      <w:r>
        <w:rPr>
          <w:i/>
          <w:iCs/>
          <w:color w:val="5B6472"/>
          <w:sz w:val="19"/>
          <w:szCs w:val="19"/>
        </w:rPr>
        <w:t xml:space="preserve">Table 3. Metrics used to evaluate the learned policies.</w:t>
      </w:r>
    </w:p>
    <w:p>
      <w:pPr>
        <w:pStyle w:val="Heading2"/>
        <w:spacing w:after="120" w:before="260"/>
      </w:pPr>
      <w:r>
        <w:rPr>
          <w:b/>
          <w:bCs/>
          <w:color w:val="3E5C89"/>
          <w:sz w:val="24"/>
          <w:szCs w:val="24"/>
        </w:rPr>
        <w:t xml:space="preserve">5.2  Baselines and Comparisons</w:t>
      </w:r>
    </w:p>
    <w:p>
      <w:pPr>
        <w:spacing w:after="160" w:line="300"/>
        <w:jc w:val="both"/>
      </w:pPr>
      <w:r>
        <w:rPr>
          <w:color w:val="222222"/>
          <w:sz w:val="22"/>
          <w:szCs w:val="22"/>
        </w:rPr>
        <w:t xml:space="preserve">Every learning method is compared against the same fixed set of baselines described in Section 4.3 (always-bit, always-semantic, always-compressed-semantic, random, and threshold heuristic), plus each other, so the value added by learning — and by context in particular — is isolated rather than assumed:</w:t>
      </w:r>
    </w:p>
    <w:p>
      <w:pPr>
        <w:pStyle w:val="ListParagraph"/>
        <w:numPr>
          <w:ilvl w:val="0"/>
          <w:numId w:val="2"/>
        </w:numPr>
        <w:spacing w:after="100" w:line="290"/>
      </w:pPr>
      <w:r>
        <w:rPr>
          <w:color w:val="222222"/>
          <w:sz w:val="22"/>
          <w:szCs w:val="22"/>
        </w:rPr>
        <w:t xml:space="preserve">Contextual bandit vs. non-contextual bandit: quantifies the value of conditioning on context at all.</w:t>
      </w:r>
    </w:p>
    <w:p>
      <w:pPr>
        <w:pStyle w:val="ListParagraph"/>
        <w:numPr>
          <w:ilvl w:val="0"/>
          <w:numId w:val="2"/>
        </w:numPr>
        <w:spacing w:after="100" w:line="290"/>
      </w:pPr>
      <w:r>
        <w:rPr>
          <w:color w:val="222222"/>
          <w:sz w:val="22"/>
          <w:szCs w:val="22"/>
        </w:rPr>
        <w:t xml:space="preserve">Contextual bandit vs. DQN: quantifies whether modelling sequential state (battery, queue) beyond the immediate context is worth its extra training cost and sample complexity.</w:t>
      </w:r>
    </w:p>
    <w:p>
      <w:pPr>
        <w:pStyle w:val="ListParagraph"/>
        <w:numPr>
          <w:ilvl w:val="0"/>
          <w:numId w:val="2"/>
        </w:numPr>
        <w:spacing w:after="100" w:line="290"/>
      </w:pPr>
      <w:r>
        <w:rPr>
          <w:color w:val="222222"/>
          <w:sz w:val="22"/>
          <w:szCs w:val="22"/>
        </w:rPr>
        <w:t xml:space="preserve">Best learned policy vs. threshold heuristic: quantifies the value of learning over a reasonable hand-designed rule.</w:t>
      </w:r>
    </w:p>
    <w:p>
      <w:pPr>
        <w:pStyle w:val="ListParagraph"/>
        <w:numPr>
          <w:ilvl w:val="0"/>
          <w:numId w:val="2"/>
        </w:numPr>
        <w:spacing w:after="100" w:line="290"/>
      </w:pPr>
      <w:r>
        <w:rPr>
          <w:color w:val="222222"/>
          <w:sz w:val="22"/>
          <w:szCs w:val="22"/>
        </w:rPr>
        <w:t xml:space="preserve">Best learned policy vs. oracle (perfect hindsight): gives the regret bound that shows how close to optimal the learned policy gets.</w:t>
      </w:r>
    </w:p>
    <w:p>
      <w:pPr>
        <w:pStyle w:val="Heading2"/>
        <w:spacing w:after="120" w:before="260"/>
      </w:pPr>
      <w:r>
        <w:rPr>
          <w:b/>
          <w:bCs/>
          <w:color w:val="3E5C89"/>
          <w:sz w:val="24"/>
          <w:szCs w:val="24"/>
        </w:rPr>
        <w:t xml:space="preserve">5.3  Ablation Studies</w:t>
      </w:r>
    </w:p>
    <w:p>
      <w:pPr>
        <w:pStyle w:val="ListParagraph"/>
        <w:numPr>
          <w:ilvl w:val="0"/>
          <w:numId w:val="2"/>
        </w:numPr>
        <w:spacing w:after="100" w:line="290"/>
      </w:pPr>
      <w:r>
        <w:rPr>
          <w:color w:val="222222"/>
          <w:sz w:val="22"/>
          <w:szCs w:val="22"/>
        </w:rPr>
        <w:t xml:space="preserve">Context ablation: channel-only vs. channel + urgency vs. all four context features, to show which signals matter most to the policy.</w:t>
      </w:r>
    </w:p>
    <w:p>
      <w:pPr>
        <w:pStyle w:val="ListParagraph"/>
        <w:numPr>
          <w:ilvl w:val="0"/>
          <w:numId w:val="2"/>
        </w:numPr>
        <w:spacing w:after="100" w:line="290"/>
      </w:pPr>
      <w:r>
        <w:rPr>
          <w:color w:val="222222"/>
          <w:sz w:val="22"/>
          <w:szCs w:val="22"/>
        </w:rPr>
        <w:t xml:space="preserve">Reward-weight sensitivity: re-running training under energy-scarce vs. latency-critical weightings to confirm the policy adapts its mode-selection behaviour sensibly.</w:t>
      </w:r>
    </w:p>
    <w:p>
      <w:pPr>
        <w:pStyle w:val="ListParagraph"/>
        <w:numPr>
          <w:ilvl w:val="0"/>
          <w:numId w:val="2"/>
        </w:numPr>
        <w:spacing w:after="100" w:line="290"/>
      </w:pPr>
      <w:r>
        <w:rPr>
          <w:color w:val="222222"/>
          <w:sz w:val="22"/>
          <w:szCs w:val="22"/>
        </w:rPr>
        <w:t xml:space="preserve">Traffic-load sensitivity: light vs. heavy task load, to test whether the policy remains stable when the queue-load context signal becomes more influential.</w:t>
      </w:r>
    </w:p>
    <w:p>
      <w:pPr>
        <w:pStyle w:val="ListParagraph"/>
        <w:numPr>
          <w:ilvl w:val="0"/>
          <w:numId w:val="2"/>
        </w:numPr>
        <w:spacing w:after="100" w:line="290"/>
      </w:pPr>
      <w:r>
        <w:rPr>
          <w:color w:val="222222"/>
          <w:sz w:val="22"/>
          <w:szCs w:val="22"/>
        </w:rPr>
        <w:t xml:space="preserve">Channel-volatility sensitivity: slow-fading vs. fast-fading UAV mobility profiles, to test how quickly each algorithm re-adapts after the channel statistics shift.</w:t>
      </w:r>
    </w:p>
    <w:p>
      <w:pPr>
        <w:pStyle w:val="Heading2"/>
        <w:spacing w:after="120" w:before="260"/>
      </w:pPr>
      <w:r>
        <w:rPr>
          <w:b/>
          <w:bCs/>
          <w:color w:val="3E5C89"/>
          <w:sz w:val="24"/>
          <w:szCs w:val="24"/>
        </w:rPr>
        <w:t xml:space="preserve">5.4  Expected Results</w:t>
      </w:r>
    </w:p>
    <w:p>
      <w:pPr>
        <w:spacing w:after="160" w:line="300"/>
        <w:jc w:val="both"/>
      </w:pPr>
      <w:r>
        <w:rPr>
          <w:color w:val="222222"/>
          <w:sz w:val="22"/>
          <w:szCs w:val="22"/>
        </w:rPr>
        <w:t xml:space="preserve">Based on the structure of the problem and comparable results in the wider semantic-communication and contextual-bandit literature, we expect the following outcomes, to be confirmed empirically:</w:t>
      </w:r>
    </w:p>
    <w:p>
      <w:pPr>
        <w:pStyle w:val="ListParagraph"/>
        <w:numPr>
          <w:ilvl w:val="0"/>
          <w:numId w:val="2"/>
        </w:numPr>
        <w:spacing w:after="100" w:line="290"/>
      </w:pPr>
      <w:r>
        <w:rPr>
          <w:color w:val="222222"/>
          <w:sz w:val="22"/>
          <w:szCs w:val="22"/>
        </w:rPr>
        <w:t xml:space="preserve">The contextual bandit agents (LinUCB and Thompson Sampling) should converge to a low-regret policy relatively quickly, since the per-task decision does not strongly depend on long-horizon state — making the bandit formulation a strong, sample-efficient fit for this specific problem.</w:t>
      </w:r>
    </w:p>
    <w:p>
      <w:pPr>
        <w:pStyle w:val="ListParagraph"/>
        <w:numPr>
          <w:ilvl w:val="0"/>
          <w:numId w:val="2"/>
        </w:numPr>
        <w:spacing w:after="100" w:line="290"/>
      </w:pPr>
      <w:r>
        <w:rPr>
          <w:color w:val="222222"/>
          <w:sz w:val="22"/>
          <w:szCs w:val="22"/>
        </w:rPr>
        <w:t xml:space="preserve">The learned dynamic-switching policy should outperform every fixed single-mode baseline once evaluated across a heterogeneous mix of urgency levels and channel conditions, since no fixed mode is well matched to all of them simultaneously.</w:t>
      </w:r>
    </w:p>
    <w:p>
      <w:pPr>
        <w:pStyle w:val="ListParagraph"/>
        <w:numPr>
          <w:ilvl w:val="0"/>
          <w:numId w:val="2"/>
        </w:numPr>
        <w:spacing w:after="100" w:line="290"/>
      </w:pPr>
      <w:r>
        <w:rPr>
          <w:color w:val="222222"/>
          <w:sz w:val="22"/>
          <w:szCs w:val="22"/>
        </w:rPr>
        <w:t xml:space="preserve">Gains over always-bit transmission should be most visible in energy consumption and average latency; gains over always-semantic transmission should be most visible in task success rate on tasks that require high fidelity.</w:t>
      </w:r>
    </w:p>
    <w:p>
      <w:pPr>
        <w:pStyle w:val="ListParagraph"/>
        <w:numPr>
          <w:ilvl w:val="0"/>
          <w:numId w:val="2"/>
        </w:numPr>
        <w:spacing w:after="100" w:line="290"/>
      </w:pPr>
      <w:r>
        <w:rPr>
          <w:color w:val="222222"/>
          <w:sz w:val="22"/>
          <w:szCs w:val="22"/>
        </w:rPr>
        <w:t xml:space="preserve">The DQN baseline is expected to perform comparably to, or only marginally better than, the contextual bandit — at a noticeably higher training cost and sample requirement — which would itself be a useful, defensible finding: that the sequential (queue/battery) dependency in this particular problem is secondary to getting the immediate context right.</w:t>
      </w:r>
    </w:p>
    <w:p>
      <w:pPr>
        <w:pStyle w:val="ListParagraph"/>
        <w:numPr>
          <w:ilvl w:val="0"/>
          <w:numId w:val="2"/>
        </w:numPr>
        <w:spacing w:after="100" w:line="290"/>
      </w:pPr>
      <w:r>
        <w:rPr>
          <w:color w:val="222222"/>
          <w:sz w:val="22"/>
          <w:szCs w:val="22"/>
        </w:rPr>
        <w:t xml:space="preserve">The threshold heuristic should perform reasonably in the specific regime it was tuned for, but noticeably worse than the learned policies once conditions drift outside that regime — illustrating concretely why a fixed rule is insufficient and adaptive learning adds real value.</w:t>
      </w:r>
    </w:p>
    <w:p>
      <w:pPr>
        <w:pStyle w:val="Heading1"/>
        <w:pBdr>
          <w:bottom w:val="single" w:color="B08D57" w:sz="8" w:space="4"/>
        </w:pBdr>
        <w:spacing w:after="180" w:before="380"/>
      </w:pPr>
      <w:r>
        <w:rPr>
          <w:b/>
          <w:bCs/>
          <w:color w:val="1B2A4A"/>
          <w:sz w:val="30"/>
          <w:szCs w:val="30"/>
        </w:rPr>
        <w:t xml:space="preserve">6.  Summary</w:t>
      </w:r>
    </w:p>
    <w:p>
      <w:pPr>
        <w:spacing w:after="160" w:line="300"/>
        <w:jc w:val="both"/>
      </w:pPr>
      <w:r>
        <w:rPr>
          <w:color w:val="222222"/>
          <w:sz w:val="22"/>
          <w:szCs w:val="22"/>
        </w:rPr>
        <w:t xml:space="preserve">This project targets a genuinely open, practically motivated question at the intersection of semantic communication and UAV networking: given that no single transmission mode is optimal for every task, can a lightweight learning agent choose — in real time, per task — between conventional bit transmission, semantic transmission, and compressed semantic transmission, using channel state, urgency, processing-delay budget, and semantic-quality requirement as context? We propose to answer this primarily with contextual bandit algorithms (LinUCB and Thompson Sampling), benchmarked against a Deep Q-Network baseline and a set of fixed/heuristic policies, evaluated on a simulated UAV air-to-ground environment across cumulative reward, regret, task success rate, latency, energy, and semantic quality of experience. The expected outcome is a working demonstration that adaptive, context-aware mode selection meaningfully outperforms any fixed policy, together with a clear, evidence-based answer to whether the added complexity of full sequential reinforcement learning is actually necessary for this problem.</w:t>
      </w:r>
    </w:p>
    <w:p>
      <w:r>
        <w:br w:type="page"/>
      </w:r>
    </w:p>
    <w:p>
      <w:pPr>
        <w:pStyle w:val="Heading1"/>
        <w:pBdr>
          <w:bottom w:val="single" w:color="B08D57" w:sz="8" w:space="4"/>
        </w:pBdr>
        <w:spacing w:after="180" w:before="380"/>
      </w:pPr>
      <w:r>
        <w:rPr>
          <w:b/>
          <w:bCs/>
          <w:color w:val="1B2A4A"/>
          <w:sz w:val="30"/>
          <w:szCs w:val="30"/>
        </w:rPr>
        <w:t xml:space="preserve">References</w:t>
      </w:r>
    </w:p>
    <w:p>
      <w:pPr>
        <w:spacing w:after="130" w:line="280"/>
        <w:ind w:left="460" w:hanging="460"/>
      </w:pPr>
      <w:r>
        <w:rPr>
          <w:b/>
          <w:bCs/>
          <w:color w:val="3E5C89"/>
          <w:sz w:val="19"/>
          <w:szCs w:val="19"/>
        </w:rPr>
        <w:t xml:space="preserve">[1]  </w:t>
      </w:r>
      <w:r>
        <w:rPr>
          <w:color w:val="222222"/>
          <w:sz w:val="19"/>
          <w:szCs w:val="19"/>
        </w:rPr>
        <w:t xml:space="preserve">J. Xu, T.-Y. Tung, B. Ai, W. Chen, Y. Sun, and D. Gündüz, “Deep Joint Source-Channel Coding for Semantic Communications,” IEEE Communications Magazine, vol. 61, no. 11, pp. 42–48, 2023.</w:t>
      </w:r>
    </w:p>
    <w:p>
      <w:pPr>
        <w:spacing w:after="130" w:line="280"/>
        <w:ind w:left="460" w:hanging="460"/>
      </w:pPr>
      <w:r>
        <w:rPr>
          <w:b/>
          <w:bCs/>
          <w:color w:val="3E5C89"/>
          <w:sz w:val="19"/>
          <w:szCs w:val="19"/>
        </w:rPr>
        <w:t xml:space="preserve">[2]  </w:t>
      </w:r>
      <w:r>
        <w:rPr>
          <w:color w:val="222222"/>
          <w:sz w:val="19"/>
          <w:szCs w:val="19"/>
        </w:rPr>
        <w:t xml:space="preserve">Z. Qin, X. Tao, J. Lu, W. Tong, and G. Y. Li, “Semantic Communications: Principles and Challenges,” arXiv:2201.01389, 2021.</w:t>
      </w:r>
    </w:p>
    <w:p>
      <w:pPr>
        <w:spacing w:after="130" w:line="280"/>
        <w:ind w:left="460" w:hanging="460"/>
      </w:pPr>
      <w:r>
        <w:rPr>
          <w:b/>
          <w:bCs/>
          <w:color w:val="3E5C89"/>
          <w:sz w:val="19"/>
          <w:szCs w:val="19"/>
        </w:rPr>
        <w:t xml:space="preserve">[3]  </w:t>
      </w:r>
      <w:r>
        <w:rPr>
          <w:color w:val="222222"/>
          <w:sz w:val="19"/>
          <w:szCs w:val="19"/>
        </w:rPr>
        <w:t xml:space="preserve">X. Kang, B. Song, J. Guo, Z. Qin, and F. R. Yu, “Task-Oriented Image Transmission for Scene Classification in Unmanned Aerial Systems,” IEEE Transactions on Communications, vol. 70, pp. 5181–5192, 2022.</w:t>
      </w:r>
    </w:p>
    <w:p>
      <w:pPr>
        <w:spacing w:after="130" w:line="280"/>
        <w:ind w:left="460" w:hanging="460"/>
      </w:pPr>
      <w:r>
        <w:rPr>
          <w:b/>
          <w:bCs/>
          <w:color w:val="3E5C89"/>
          <w:sz w:val="19"/>
          <w:szCs w:val="19"/>
        </w:rPr>
        <w:t xml:space="preserve">[4]  </w:t>
      </w:r>
      <w:r>
        <w:rPr>
          <w:color w:val="222222"/>
          <w:sz w:val="19"/>
          <w:szCs w:val="19"/>
        </w:rPr>
        <w:t xml:space="preserve">Z. Weng and Z. Qin, “Semantic Communication Systems for Speech Transmission,” IEEE Journal on Selected Areas in Communications, vol. 39, no. 8, pp. 2434–2444, 2021.</w:t>
      </w:r>
    </w:p>
    <w:p>
      <w:pPr>
        <w:spacing w:after="130" w:line="280"/>
        <w:ind w:left="460" w:hanging="460"/>
      </w:pPr>
      <w:r>
        <w:rPr>
          <w:b/>
          <w:bCs/>
          <w:color w:val="3E5C89"/>
          <w:sz w:val="19"/>
          <w:szCs w:val="19"/>
        </w:rPr>
        <w:t xml:space="preserve">[5]  </w:t>
      </w:r>
      <w:r>
        <w:rPr>
          <w:color w:val="222222"/>
          <w:sz w:val="19"/>
          <w:szCs w:val="19"/>
        </w:rPr>
        <w:t xml:space="preserve">“Lyapunov-Guided Deep Reinforcement Learning for Semantic-Aware AoI Minimization in UAV-Assisted Wireless Networks,” arXiv:2409.13580, 2024.</w:t>
      </w:r>
    </w:p>
    <w:p>
      <w:pPr>
        <w:spacing w:after="130" w:line="280"/>
        <w:ind w:left="460" w:hanging="460"/>
      </w:pPr>
      <w:r>
        <w:rPr>
          <w:b/>
          <w:bCs/>
          <w:color w:val="3E5C89"/>
          <w:sz w:val="19"/>
          <w:szCs w:val="19"/>
        </w:rPr>
        <w:t xml:space="preserve">[6]  </w:t>
      </w:r>
      <w:r>
        <w:rPr>
          <w:color w:val="222222"/>
          <w:sz w:val="19"/>
          <w:szCs w:val="19"/>
        </w:rPr>
        <w:t xml:space="preserve">“Hybrid Bit and Semantic Communications for UAV-Enabled Wireless Power Transfer Networks: A Decision-Assisted Deep Reinforcement Learning Approach,” arXiv:2606.00668, 2026.</w:t>
      </w:r>
    </w:p>
    <w:p>
      <w:pPr>
        <w:spacing w:after="130" w:line="280"/>
        <w:ind w:left="460" w:hanging="460"/>
      </w:pPr>
      <w:r>
        <w:rPr>
          <w:b/>
          <w:bCs/>
          <w:color w:val="3E5C89"/>
          <w:sz w:val="19"/>
          <w:szCs w:val="19"/>
        </w:rPr>
        <w:t xml:space="preserve">[7]  </w:t>
      </w:r>
      <w:r>
        <w:rPr>
          <w:color w:val="222222"/>
          <w:sz w:val="19"/>
          <w:szCs w:val="19"/>
        </w:rPr>
        <w:t xml:space="preserve">“Task-Oriented Semantics-Aware Communication for Wireless UAV Control and Command Transmission,” arXiv:2306.14228, 2023.</w:t>
      </w:r>
    </w:p>
    <w:p>
      <w:pPr>
        <w:spacing w:after="130" w:line="280"/>
        <w:ind w:left="460" w:hanging="460"/>
      </w:pPr>
      <w:r>
        <w:rPr>
          <w:b/>
          <w:bCs/>
          <w:color w:val="3E5C89"/>
          <w:sz w:val="19"/>
          <w:szCs w:val="19"/>
        </w:rPr>
        <w:t xml:space="preserve">[8]  </w:t>
      </w:r>
      <w:r>
        <w:rPr>
          <w:color w:val="222222"/>
          <w:sz w:val="19"/>
          <w:szCs w:val="19"/>
        </w:rPr>
        <w:t xml:space="preserve">L. Li, W. Chu, J. Langford, and R. E. Schapire, “A Contextual-Bandit Approach to Personalized News Article Recommendation,” in Proc. 19th International Conference on World Wide Web (WWW), 2010.</w:t>
      </w:r>
    </w:p>
    <w:p>
      <w:pPr>
        <w:spacing w:after="130" w:line="280"/>
        <w:ind w:left="460" w:hanging="460"/>
      </w:pPr>
      <w:r>
        <w:rPr>
          <w:b/>
          <w:bCs/>
          <w:color w:val="3E5C89"/>
          <w:sz w:val="19"/>
          <w:szCs w:val="19"/>
        </w:rPr>
        <w:t xml:space="preserve">[9]  </w:t>
      </w:r>
      <w:r>
        <w:rPr>
          <w:color w:val="222222"/>
          <w:sz w:val="19"/>
          <w:szCs w:val="19"/>
        </w:rPr>
        <w:t xml:space="preserve">“Context-Aware Rate Adaptation for Predictive Flying Networks Using Contextual Bandits,” arXiv:2504.05964, 2025.</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B6472"/>
        <w:sz w:val="15"/>
        <w:szCs w:val="15"/>
      </w:rPr>
      <w:t xml:space="preserve">Contextual Bandit Hybrid Bit-Semantic Transmission Selection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71353583a8859c375c2badad55259a64082eb4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 Bandit Hybrid Bit-Semantic Transmission Selection for UAVs</dc:title>
  <dc:creator>Likhita</dc:creator>
  <cp:lastModifiedBy>Un-named</cp:lastModifiedBy>
  <cp:revision>1</cp:revision>
  <dcterms:created xsi:type="dcterms:W3CDTF">2026-08-19T08:42:15.576Z</dcterms:created>
  <dcterms:modified xsi:type="dcterms:W3CDTF">2026-08-19T08:42:15.591Z</dcterms:modified>
</cp:coreProperties>
</file>

<file path=docProps/custom.xml><?xml version="1.0" encoding="utf-8"?>
<Properties xmlns="http://schemas.openxmlformats.org/officeDocument/2006/custom-properties" xmlns:vt="http://schemas.openxmlformats.org/officeDocument/2006/docPropsVTypes"/>
</file>