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Global Digital Divide: Internet Access, 2010 to 2023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Stakeholder summary  |  Dashboard: </w:t>
      </w:r>
      <w:hyperlink w:history="1" r:id="rIdjlmfisimgjlzygl0kfbsy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public.tableau.com/app/profile/soundarya.chikka.adugodi.mahesh/viz/GlobalDigitalDivide_17919226981800/Dashboard1</w:t>
        </w:r>
      </w:hyperlink>
    </w:p>
    <w:p>
      <w:pPr>
        <w:pStyle w:val="Heading2"/>
        <w:pBdr>
          <w:bottom w:val="single" w:color="999999" w:sz="4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What I analysed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Three World Bank/ITU indicators for 217 countries from 2010 to 2023: mobile subscriptions and fixed broadband subscriptions (per 100 people), and secure internet servers (per million people, a proxy for hosting capacity). I compared countries, regions and income groups using medians so that a few extreme values do not distort the results. Countries missing half or more of the years for an indicator were flagged and kept.</w:t>
      </w:r>
    </w:p>
    <w:p>
      <w:pPr>
        <w:pStyle w:val="Heading2"/>
        <w:pBdr>
          <w:bottom w:val="single" w:color="999999" w:sz="4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Three most important findings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Mobile has narrowed the access gap. </w:t>
      </w:r>
      <w:r>
        <w:rPr>
          <w:rFonts w:ascii="Calibri" w:cs="Calibri" w:eastAsia="Calibri" w:hAnsi="Calibri"/>
          <w:sz w:val="20"/>
          <w:szCs w:val="20"/>
        </w:rPr>
        <w:t xml:space="preserve">The gap in mobile subscriptions between high- and low-income countries fell from about 85 to 63 per 100 people. So what: basic connectivity is spreading quickly, and mobile is the main route online for poorer countries.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Fixed broadband is pulling apart. </w:t>
      </w:r>
      <w:r>
        <w:rPr>
          <w:rFonts w:ascii="Calibri" w:cs="Calibri" w:eastAsia="Calibri" w:hAnsi="Calibri"/>
          <w:sz w:val="20"/>
          <w:szCs w:val="20"/>
        </w:rPr>
        <w:t xml:space="preserve">The same gap widened from about 22 to 35 per 100 people, and low-income countries remain near zero. So what: mobile gives access, but not the speed and reliability needed for remote work, cloud services and online education, so the quality gap is growing.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Hosting is concentrated. </w:t>
      </w:r>
      <w:r>
        <w:rPr>
          <w:rFonts w:ascii="Calibri" w:cs="Calibri" w:eastAsia="Calibri" w:hAnsi="Calibri"/>
          <w:sz w:val="20"/>
          <w:szCs w:val="20"/>
        </w:rPr>
        <w:t xml:space="preserve">The median Sub-Saharan African country has about 38 secure servers per million people, against about 42,600 in North America. So what: much digital content is hosted elsewhere, which affects cost, speed and data control. This measures where servers sit, not where people are online, and tax-haven hosting inflates some countries.</w:t>
      </w:r>
    </w:p>
    <w:p>
      <w:pPr>
        <w:pStyle w:val="Heading2"/>
        <w:pBdr>
          <w:bottom w:val="single" w:color="999999" w:sz="4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Why the digital divide matters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Fast, reliable internet shapes jobs, schooling, health services and business growth. A divide that is closing on paper (mobile) but widening in practice (fixed broadband) can leave low-income countries unable to benefit fully from digital services.</w:t>
      </w:r>
    </w:p>
    <w:p>
      <w:pPr>
        <w:pStyle w:val="Heading2"/>
        <w:pBdr>
          <w:bottom w:val="single" w:color="999999" w:sz="4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Two questions policymakers and businesses should ask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Where does mobile-only access limit what people can do online, and what would it take to extend fixed or fast fixed-wireless broadband there?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Which countries depend on hosting abroad for essential services, and does that create cost, speed or data-security risks worth addressing?</w:t>
      </w:r>
    </w:p>
    <w:p>
      <w:pPr>
        <w:pStyle w:val="Heading2"/>
        <w:pBdr>
          <w:bottom w:val="single" w:color="999999" w:sz="4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Limitations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Figures are medians of country values, so large and small countries count equally. Some countries lack data for recent years, and the regional trend for East Asia &amp; Pacific is sensitive to which countries report in a given year.</w:t>
      </w:r>
    </w:p>
    <w:sectPr>
      <w:pgSz w:w="11906" w:h="16838" w:orient="portrait"/>
      <w:pgMar w:top="9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lmfisimgjlzygl0kfbsy" Type="http://schemas.openxmlformats.org/officeDocument/2006/relationships/hyperlink" Target="https://public.tableau.com/app/profile/soundarya.chikka.adugodi.mahesh/viz/GlobalDigitalDivide_17919226981800/Dashboard1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2026-10-13T20:31:44.062Z</dcterms:created>
  <dcterms:modified xsi:type="dcterms:W3CDTF">2026-10-13T20:31:44.068Z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