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b/>
          <w:bCs/>
          <w:color w:val="5573FF"/>
          <w:sz w:val="64"/>
          <w:szCs w:val="64"/>
        </w:rPr>
        <w:t xml:space="preserve">FlowSight</w:t>
      </w:r>
    </w:p>
    <w:p>
      <w:pPr>
        <w:spacing w:after="400"/>
        <w:jc w:val="center"/>
      </w:pPr>
      <w:r>
        <w:rPr>
          <w:color w:val="333333"/>
          <w:sz w:val="32"/>
          <w:szCs w:val="32"/>
        </w:rPr>
        <w:t xml:space="preserve">MVP Functional Specification</w:t>
      </w:r>
    </w:p>
    <w:p>
      <w:pPr>
        <w:spacing w:after="40"/>
        <w:jc w:val="center"/>
      </w:pPr>
      <w:r>
        <w:rPr>
          <w:color w:val="5B6472"/>
          <w:sz w:val="22"/>
          <w:szCs w:val="22"/>
        </w:rPr>
        <w:t xml:space="preserve">Document type: Functional Requirements Specification</w:t>
      </w:r>
    </w:p>
    <w:p>
      <w:pPr>
        <w:spacing w:after="40"/>
        <w:jc w:val="center"/>
      </w:pPr>
      <w:r>
        <w:rPr>
          <w:color w:val="5B6472"/>
          <w:sz w:val="22"/>
          <w:szCs w:val="22"/>
        </w:rPr>
        <w:t xml:space="preserve">Version: MVP 1.0</w:t>
      </w:r>
    </w:p>
    <w:p>
      <w:pPr>
        <w:spacing w:after="40"/>
        <w:jc w:val="center"/>
      </w:pPr>
      <w:r>
        <w:rPr>
          <w:color w:val="5B6472"/>
          <w:sz w:val="22"/>
          <w:szCs w:val="22"/>
        </w:rPr>
        <w:t xml:space="preserve">Status: Build source of truth</w:t>
      </w:r>
    </w:p>
    <w:p>
      <w:pPr>
        <w:spacing w:after="1200"/>
        <w:jc w:val="center"/>
      </w:pPr>
      <w:r>
        <w:rPr>
          <w:color w:val="5B6472"/>
          <w:sz w:val="22"/>
          <w:szCs w:val="22"/>
        </w:rPr>
        <w:t xml:space="preserve">Date: July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Product Purpose</w:t>
      </w:r>
    </w:p>
    <w:p>
      <w:pPr>
        <w:spacing w:after="140"/>
      </w:pPr>
      <w:r>
        <w:t xml:space="preserve">FlowSight is a consumer personal-finance application focused on forward-looking cash-flow forecasting and financial decision-making.</w:t>
      </w:r>
    </w:p>
    <w:p>
      <w:pPr>
        <w:spacing w:after="140"/>
      </w:pPr>
      <w:r>
        <w:t xml:space="preserve">The core user question is:</w:t>
      </w:r>
    </w:p>
    <w:p>
      <w:pPr>
        <w:pBdr>
          <w:left w:val="single" w:color="1DD8A0" w:sz="12" w:space="8"/>
        </w:pBdr>
        <w:spacing w:after="160" w:before="60"/>
        <w:ind w:left="360"/>
      </w:pPr>
      <w:r>
        <w:rPr>
          <w:i/>
          <w:iCs/>
          <w:color w:val="333333"/>
        </w:rPr>
        <w:t xml:space="preserve">Am I going to be financially okay over the next few weeks?</w:t>
      </w:r>
    </w:p>
    <w:p>
      <w:pPr>
        <w:spacing w:after="140"/>
      </w:pPr>
      <w:r>
        <w:t xml:space="preserve">Traditional finance applications primarily explain historical activity — where did my money go? FlowSight instead focuses on what is going to happen to my money next. The product should behave conceptually like a weather forecast for your money.</w:t>
      </w:r>
    </w:p>
    <w:p>
      <w:pPr>
        <w:spacing w:after="140"/>
      </w:pPr>
      <w:r>
        <w:t xml:space="preserve">A user should be able to open FlowSight and understand within approximately 10 seconds:</w:t>
      </w:r>
    </w:p>
    <w:p>
      <w:pPr>
        <w:pStyle w:val="ListParagraph"/>
        <w:numPr>
          <w:ilvl w:val="0"/>
          <w:numId w:val="2"/>
        </w:numPr>
        <w:spacing w:after="60"/>
      </w:pPr>
      <w:r>
        <w:t xml:space="preserve">Their current financial position</w:t>
      </w:r>
    </w:p>
    <w:p>
      <w:pPr>
        <w:pStyle w:val="ListParagraph"/>
        <w:numPr>
          <w:ilvl w:val="0"/>
          <w:numId w:val="2"/>
        </w:numPr>
        <w:spacing w:after="60"/>
      </w:pPr>
      <w:r>
        <w:t xml:space="preserve">Whether upcoming obligations are safe</w:t>
      </w:r>
    </w:p>
    <w:p>
      <w:pPr>
        <w:pStyle w:val="ListParagraph"/>
        <w:numPr>
          <w:ilvl w:val="0"/>
          <w:numId w:val="2"/>
        </w:numPr>
        <w:spacing w:after="60"/>
      </w:pPr>
      <w:r>
        <w:t xml:space="preserve">Their lowest expected balance</w:t>
      </w:r>
    </w:p>
    <w:p>
      <w:pPr>
        <w:pStyle w:val="ListParagraph"/>
        <w:numPr>
          <w:ilvl w:val="0"/>
          <w:numId w:val="2"/>
        </w:numPr>
        <w:spacing w:after="60"/>
      </w:pPr>
      <w:r>
        <w:t xml:space="preserve">How much they can safely spend</w:t>
      </w:r>
    </w:p>
    <w:p>
      <w:pPr>
        <w:pStyle w:val="ListParagraph"/>
        <w:numPr>
          <w:ilvl w:val="0"/>
          <w:numId w:val="2"/>
        </w:numPr>
        <w:spacing w:after="60"/>
      </w:pPr>
      <w:r>
        <w:t xml:space="preserve">When financial pressure may occur</w:t>
      </w:r>
    </w:p>
    <w:p>
      <w:pPr>
        <w:pStyle w:val="ListParagraph"/>
        <w:numPr>
          <w:ilvl w:val="0"/>
          <w:numId w:val="2"/>
        </w:numPr>
        <w:spacing w:after="60"/>
      </w:pPr>
      <w:r>
        <w:t xml:space="preserve">What causes that pressure</w:t>
      </w:r>
    </w:p>
    <w:p>
      <w:pPr>
        <w:pStyle w:val="ListParagraph"/>
        <w:numPr>
          <w:ilvl w:val="0"/>
          <w:numId w:val="2"/>
        </w:numPr>
        <w:spacing w:after="60"/>
      </w:pPr>
      <w:r>
        <w:t xml:space="preserve">How a potential decision would affect the outlook</w:t>
      </w:r>
    </w:p>
    <w:p>
      <w:pPr>
        <w:pStyle w:val="Heading1"/>
        <w:spacing w:after="160" w:before="360"/>
      </w:pPr>
      <w:r>
        <w:t xml:space="preserve">2. Product North Star</w:t>
      </w:r>
    </w:p>
    <w:p>
      <w:pPr>
        <w:spacing w:after="140"/>
      </w:pPr>
      <w:r>
        <w:t xml:space="preserve">Every morning, a user should be able to open FlowSight and immediately understand:</w:t>
      </w:r>
    </w:p>
    <w:p>
      <w:pPr>
        <w:pBdr>
          <w:left w:val="single" w:color="1DD8A0" w:sz="12" w:space="8"/>
        </w:pBdr>
        <w:spacing w:after="160" w:before="60"/>
        <w:ind w:left="360"/>
      </w:pPr>
      <w:r>
        <w:rPr>
          <w:i/>
          <w:iCs/>
          <w:color w:val="333333"/>
        </w:rPr>
        <w:t xml:space="preserve">Am I financially safe for the next few weeks?</w:t>
      </w:r>
    </w:p>
    <w:p>
      <w:pPr>
        <w:spacing w:after="140"/>
      </w:pPr>
      <w:r>
        <w:t xml:space="preserve">If not: What is causing the problem, when will it happen, and what can I do about it?</w:t>
      </w:r>
    </w:p>
    <w:p>
      <w:pPr>
        <w:spacing w:after="140"/>
      </w:pPr>
      <w:r>
        <w:t xml:space="preserve">This aligns with the PRD's North Star of making financial safety and required action immediately understandable.</w:t>
      </w:r>
    </w:p>
    <w:p>
      <w:pPr>
        <w:pStyle w:val="Heading1"/>
        <w:spacing w:after="160" w:before="360"/>
      </w:pPr>
      <w:r>
        <w:t xml:space="preserve">3. MVP Objective</w:t>
      </w:r>
    </w:p>
    <w:p>
      <w:pPr>
        <w:spacing w:after="140"/>
      </w:pPr>
      <w:r>
        <w:t xml:space="preserve">The MVP must validate one fundamental hypothesis:</w:t>
      </w:r>
    </w:p>
    <w:p>
      <w:pPr>
        <w:pBdr>
          <w:left w:val="single" w:color="1DD8A0" w:sz="12" w:space="8"/>
        </w:pBdr>
        <w:spacing w:after="160" w:before="60"/>
        <w:ind w:left="360"/>
      </w:pPr>
      <w:r>
        <w:rPr>
          <w:i/>
          <w:iCs/>
          <w:color w:val="333333"/>
        </w:rPr>
        <w:t xml:space="preserve">Can FlowSight reliably help users understand what will happen to their money next and make better financial decisions because of that information?</w:t>
      </w:r>
    </w:p>
    <w:p>
      <w:pPr>
        <w:spacing w:after="140"/>
      </w:pPr>
      <w:r>
        <w:t xml:space="preserve">The MVP is successful if users:</w:t>
      </w:r>
    </w:p>
    <w:p>
      <w:pPr>
        <w:pStyle w:val="ListParagraph"/>
        <w:numPr>
          <w:ilvl w:val="0"/>
          <w:numId w:val="2"/>
        </w:numPr>
        <w:spacing w:after="60"/>
      </w:pPr>
      <w:r>
        <w:t xml:space="preserve">Understand the forecast</w:t>
      </w:r>
    </w:p>
    <w:p>
      <w:pPr>
        <w:pStyle w:val="ListParagraph"/>
        <w:numPr>
          <w:ilvl w:val="0"/>
          <w:numId w:val="2"/>
        </w:numPr>
        <w:spacing w:after="60"/>
      </w:pPr>
      <w:r>
        <w:t xml:space="preserve">Trust the forecast</w:t>
      </w:r>
    </w:p>
    <w:p>
      <w:pPr>
        <w:pStyle w:val="ListParagraph"/>
        <w:numPr>
          <w:ilvl w:val="0"/>
          <w:numId w:val="2"/>
        </w:numPr>
        <w:spacing w:after="60"/>
      </w:pPr>
      <w:r>
        <w:t xml:space="preserve">Return to check it</w:t>
      </w:r>
    </w:p>
    <w:p>
      <w:pPr>
        <w:pStyle w:val="ListParagraph"/>
        <w:numPr>
          <w:ilvl w:val="0"/>
          <w:numId w:val="2"/>
        </w:numPr>
        <w:spacing w:after="60"/>
      </w:pPr>
      <w:r>
        <w:t xml:space="preserve">Use Scenario Planner before making decisions</w:t>
      </w:r>
    </w:p>
    <w:p>
      <w:pPr>
        <w:pStyle w:val="ListParagraph"/>
        <w:numPr>
          <w:ilvl w:val="0"/>
          <w:numId w:val="2"/>
        </w:numPr>
        <w:spacing w:after="60"/>
      </w:pPr>
      <w:r>
        <w:t xml:space="preserve">Respond to meaningful warnings</w:t>
      </w:r>
    </w:p>
    <w:p>
      <w:pPr>
        <w:pStyle w:val="ListParagraph"/>
        <w:numPr>
          <w:ilvl w:val="0"/>
          <w:numId w:val="2"/>
        </w:numPr>
        <w:spacing w:after="60"/>
      </w:pPr>
      <w:r>
        <w:t xml:space="preserve">Report greater financial confidence</w:t>
      </w:r>
    </w:p>
    <w:p>
      <w:pPr>
        <w:pStyle w:val="ListParagraph"/>
        <w:numPr>
          <w:ilvl w:val="0"/>
          <w:numId w:val="2"/>
        </w:numPr>
        <w:spacing w:after="60"/>
      </w:pPr>
      <w:r>
        <w:t xml:space="preserve">Demonstrate willingness to pay</w:t>
      </w:r>
    </w:p>
    <w:p>
      <w:pPr>
        <w:pStyle w:val="Heading1"/>
        <w:spacing w:after="160" w:before="360"/>
      </w:pPr>
      <w:r>
        <w:t xml:space="preserve">4. Primary User</w:t>
      </w:r>
    </w:p>
    <w:p>
      <w:pPr>
        <w:pStyle w:val="Heading2"/>
        <w:spacing w:after="120" w:before="240"/>
      </w:pPr>
      <w:r>
        <w:t xml:space="preserve">4.1 Primary MVP Persona — Regular Salaried Worker</w:t>
      </w:r>
    </w:p>
    <w:p>
      <w:pPr>
        <w:spacing w:after="140"/>
      </w:pPr>
      <w:r>
        <w:t xml:space="preserve">Characteristics:</w:t>
      </w:r>
    </w:p>
    <w:p>
      <w:pPr>
        <w:pStyle w:val="ListParagraph"/>
        <w:numPr>
          <w:ilvl w:val="0"/>
          <w:numId w:val="2"/>
        </w:numPr>
        <w:spacing w:after="60"/>
      </w:pPr>
      <w:r>
        <w:t xml:space="preserve">Paid weekly, bi-weekly, semi-monthly, or monthly</w:t>
      </w:r>
    </w:p>
    <w:p>
      <w:pPr>
        <w:pStyle w:val="ListParagraph"/>
        <w:numPr>
          <w:ilvl w:val="0"/>
          <w:numId w:val="2"/>
        </w:numPr>
        <w:spacing w:after="60"/>
      </w:pPr>
      <w:r>
        <w:t xml:space="preserve">Has predictable recurring bills</w:t>
      </w:r>
    </w:p>
    <w:p>
      <w:pPr>
        <w:pStyle w:val="ListParagraph"/>
        <w:numPr>
          <w:ilvl w:val="0"/>
          <w:numId w:val="2"/>
        </w:numPr>
        <w:spacing w:after="60"/>
      </w:pPr>
      <w:r>
        <w:t xml:space="preserve">Primarily uses checking/savings accounts</w:t>
      </w:r>
    </w:p>
    <w:p>
      <w:pPr>
        <w:pStyle w:val="ListParagraph"/>
        <w:numPr>
          <w:ilvl w:val="0"/>
          <w:numId w:val="2"/>
        </w:numPr>
        <w:spacing w:after="60"/>
      </w:pPr>
      <w:r>
        <w:t xml:space="preserve">Wants to avoid temporary cash shortages</w:t>
      </w:r>
    </w:p>
    <w:p>
      <w:pPr>
        <w:pStyle w:val="ListParagraph"/>
        <w:numPr>
          <w:ilvl w:val="0"/>
          <w:numId w:val="2"/>
        </w:numPr>
        <w:spacing w:after="60"/>
      </w:pPr>
      <w:r>
        <w:t xml:space="preserve">May have adequate monthly income but poor timing between income and bills</w:t>
      </w:r>
    </w:p>
    <w:p>
      <w:pPr>
        <w:spacing w:after="140"/>
      </w:pPr>
      <w:r>
        <w:t xml:space="preserve">Typical questions:</w:t>
      </w:r>
    </w:p>
    <w:p>
      <w:pPr>
        <w:pStyle w:val="ListParagraph"/>
        <w:numPr>
          <w:ilvl w:val="0"/>
          <w:numId w:val="2"/>
        </w:numPr>
        <w:spacing w:after="60"/>
      </w:pPr>
      <w:r>
        <w:t xml:space="preserve">Will I make it until payday?</w:t>
      </w:r>
    </w:p>
    <w:p>
      <w:pPr>
        <w:pStyle w:val="ListParagraph"/>
        <w:numPr>
          <w:ilvl w:val="0"/>
          <w:numId w:val="2"/>
        </w:numPr>
        <w:spacing w:after="60"/>
      </w:pPr>
      <w:r>
        <w:t xml:space="preserve">Can I safely spend $500 today?</w:t>
      </w:r>
    </w:p>
    <w:p>
      <w:pPr>
        <w:pStyle w:val="ListParagraph"/>
        <w:numPr>
          <w:ilvl w:val="0"/>
          <w:numId w:val="2"/>
        </w:numPr>
        <w:spacing w:after="60"/>
      </w:pPr>
      <w:r>
        <w:t xml:space="preserve">Why does my balance get so low next week?</w:t>
      </w:r>
    </w:p>
    <w:p>
      <w:pPr>
        <w:pStyle w:val="ListParagraph"/>
        <w:numPr>
          <w:ilvl w:val="0"/>
          <w:numId w:val="2"/>
        </w:numPr>
        <w:spacing w:after="60"/>
      </w:pPr>
      <w:r>
        <w:t xml:space="preserve">Can I buy this laptop without affecting rent?</w:t>
      </w:r>
    </w:p>
    <w:p>
      <w:pPr>
        <w:pStyle w:val="ListParagraph"/>
        <w:numPr>
          <w:ilvl w:val="0"/>
          <w:numId w:val="2"/>
        </w:numPr>
        <w:spacing w:after="60"/>
      </w:pPr>
      <w:r>
        <w:t xml:space="preserve">Which upcoming days should I be careful about?</w:t>
      </w:r>
    </w:p>
    <w:p>
      <w:pPr>
        <w:pStyle w:val="Heading2"/>
        <w:spacing w:after="120" w:before="240"/>
      </w:pPr>
      <w:r>
        <w:t xml:space="preserve">4.2 Secondary Future Persona</w:t>
      </w:r>
    </w:p>
    <w:p>
      <w:pPr>
        <w:spacing w:after="140"/>
      </w:pPr>
      <w:r>
        <w:t xml:space="preserve">Freelancers and contractors. Not the primary optimization target for MVP because uncertain income requires more sophisticated forecasting. MVP architecture should not prevent future support.</w:t>
      </w:r>
    </w:p>
    <w:p>
      <w:pPr>
        <w:pStyle w:val="Heading1"/>
        <w:spacing w:after="160" w:before="360"/>
      </w:pPr>
      <w:r>
        <w:t xml:space="preserve">5. Core Jobs to Be Done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B1220" w:val="clear"/>
            <w:tcMar>
              <w:top w:type="dxa" w:w="80"/>
              <w:left w:type="dxa" w:w="100"/>
              <w:bottom w:type="dxa" w:w="80"/>
              <w:right w:type="dxa" w:w="100"/>
            </w:tcMar>
            <w:vAlign w:val="center"/>
          </w:tcPr>
          <w:p>
            <w:r>
              <w:rPr>
                <w:b/>
                <w:bCs/>
                <w:color w:val="FFFFFF"/>
                <w:sz w:val="20"/>
                <w:szCs w:val="20"/>
              </w:rPr>
              <w:t xml:space="preserve">JTBD</w:t>
            </w:r>
          </w:p>
        </w:tc>
        <w:tc>
          <w:tcPr>
            <w:tcW w:type="dxa" w:w="6300"/>
            <w:shd w:fill="0B1220" w:val="clear"/>
            <w:tcMar>
              <w:top w:type="dxa" w:w="80"/>
              <w:left w:type="dxa" w:w="100"/>
              <w:bottom w:type="dxa" w:w="80"/>
              <w:right w:type="dxa" w:w="100"/>
            </w:tcMar>
            <w:vAlign w:val="center"/>
          </w:tcPr>
          <w:p>
            <w:r>
              <w:rPr>
                <w:b/>
                <w:bCs/>
                <w:color w:val="FFFFFF"/>
                <w:sz w:val="20"/>
                <w:szCs w:val="20"/>
              </w:rPr>
              <w:t xml:space="preserve">Question</w:t>
            </w:r>
          </w:p>
        </w:tc>
      </w:tr>
      <w:tr>
        <w:tc>
          <w:tcPr>
            <w:tcW w:type="dxa" w:w="3200"/>
            <w:tcMar>
              <w:top w:type="dxa" w:w="80"/>
              <w:left w:type="dxa" w:w="100"/>
              <w:bottom w:type="dxa" w:w="80"/>
              <w:right w:type="dxa" w:w="100"/>
            </w:tcMar>
          </w:tcPr>
          <w:p>
            <w:r>
              <w:rPr>
                <w:sz w:val="20"/>
                <w:szCs w:val="20"/>
              </w:rPr>
              <w:t xml:space="preserve">1 — Financial safety</w:t>
            </w:r>
          </w:p>
        </w:tc>
        <w:tc>
          <w:tcPr>
            <w:tcW w:type="dxa" w:w="6300"/>
            <w:tcMar>
              <w:top w:type="dxa" w:w="80"/>
              <w:left w:type="dxa" w:w="100"/>
              <w:bottom w:type="dxa" w:w="80"/>
              <w:right w:type="dxa" w:w="100"/>
            </w:tcMar>
          </w:tcPr>
          <w:p>
            <w:r>
              <w:rPr>
                <w:sz w:val="20"/>
                <w:szCs w:val="20"/>
              </w:rPr>
              <w:t xml:space="preserve">Am I going to be okay until my next paycheck?</w:t>
            </w:r>
          </w:p>
        </w:tc>
      </w:tr>
      <w:tr>
        <w:tc>
          <w:tcPr>
            <w:tcW w:type="dxa" w:w="3200"/>
            <w:tcMar>
              <w:top w:type="dxa" w:w="80"/>
              <w:left w:type="dxa" w:w="100"/>
              <w:bottom w:type="dxa" w:w="80"/>
              <w:right w:type="dxa" w:w="100"/>
            </w:tcMar>
          </w:tcPr>
          <w:p>
            <w:r>
              <w:rPr>
                <w:sz w:val="20"/>
                <w:szCs w:val="20"/>
              </w:rPr>
              <w:t xml:space="preserve">2 — Spending decision</w:t>
            </w:r>
          </w:p>
        </w:tc>
        <w:tc>
          <w:tcPr>
            <w:tcW w:type="dxa" w:w="6300"/>
            <w:tcMar>
              <w:top w:type="dxa" w:w="80"/>
              <w:left w:type="dxa" w:w="100"/>
              <w:bottom w:type="dxa" w:w="80"/>
              <w:right w:type="dxa" w:w="100"/>
            </w:tcMar>
          </w:tcPr>
          <w:p>
            <w:r>
              <w:rPr>
                <w:sz w:val="20"/>
                <w:szCs w:val="20"/>
              </w:rPr>
              <w:t xml:space="preserve">Can I safely spend this money?</w:t>
            </w:r>
          </w:p>
        </w:tc>
      </w:tr>
      <w:tr>
        <w:tc>
          <w:tcPr>
            <w:tcW w:type="dxa" w:w="3200"/>
            <w:tcMar>
              <w:top w:type="dxa" w:w="80"/>
              <w:left w:type="dxa" w:w="100"/>
              <w:bottom w:type="dxa" w:w="80"/>
              <w:right w:type="dxa" w:w="100"/>
            </w:tcMar>
          </w:tcPr>
          <w:p>
            <w:r>
              <w:rPr>
                <w:sz w:val="20"/>
                <w:szCs w:val="20"/>
              </w:rPr>
              <w:t xml:space="preserve">3 — Timing</w:t>
            </w:r>
          </w:p>
        </w:tc>
        <w:tc>
          <w:tcPr>
            <w:tcW w:type="dxa" w:w="6300"/>
            <w:tcMar>
              <w:top w:type="dxa" w:w="80"/>
              <w:left w:type="dxa" w:w="100"/>
              <w:bottom w:type="dxa" w:w="80"/>
              <w:right w:type="dxa" w:w="100"/>
            </w:tcMar>
          </w:tcPr>
          <w:p>
            <w:r>
              <w:rPr>
                <w:sz w:val="20"/>
                <w:szCs w:val="20"/>
              </w:rPr>
              <w:t xml:space="preserve">When will my finances become tight?</w:t>
            </w:r>
          </w:p>
        </w:tc>
      </w:tr>
      <w:tr>
        <w:tc>
          <w:tcPr>
            <w:tcW w:type="dxa" w:w="3200"/>
            <w:tcMar>
              <w:top w:type="dxa" w:w="80"/>
              <w:left w:type="dxa" w:w="100"/>
              <w:bottom w:type="dxa" w:w="80"/>
              <w:right w:type="dxa" w:w="100"/>
            </w:tcMar>
          </w:tcPr>
          <w:p>
            <w:r>
              <w:rPr>
                <w:sz w:val="20"/>
                <w:szCs w:val="20"/>
              </w:rPr>
              <w:t xml:space="preserve">4 — Explanation</w:t>
            </w:r>
          </w:p>
        </w:tc>
        <w:tc>
          <w:tcPr>
            <w:tcW w:type="dxa" w:w="6300"/>
            <w:tcMar>
              <w:top w:type="dxa" w:w="80"/>
              <w:left w:type="dxa" w:w="100"/>
              <w:bottom w:type="dxa" w:w="80"/>
              <w:right w:type="dxa" w:w="100"/>
            </w:tcMar>
          </w:tcPr>
          <w:p>
            <w:r>
              <w:rPr>
                <w:sz w:val="20"/>
                <w:szCs w:val="20"/>
              </w:rPr>
              <w:t xml:space="preserve">Why is my balance expected to drop?</w:t>
            </w:r>
          </w:p>
        </w:tc>
      </w:tr>
      <w:tr>
        <w:tc>
          <w:tcPr>
            <w:tcW w:type="dxa" w:w="3200"/>
            <w:tcMar>
              <w:top w:type="dxa" w:w="80"/>
              <w:left w:type="dxa" w:w="100"/>
              <w:bottom w:type="dxa" w:w="80"/>
              <w:right w:type="dxa" w:w="100"/>
            </w:tcMar>
          </w:tcPr>
          <w:p>
            <w:r>
              <w:rPr>
                <w:sz w:val="20"/>
                <w:szCs w:val="20"/>
              </w:rPr>
              <w:t xml:space="preserve">5 — Scenario</w:t>
            </w:r>
          </w:p>
        </w:tc>
        <w:tc>
          <w:tcPr>
            <w:tcW w:type="dxa" w:w="6300"/>
            <w:tcMar>
              <w:top w:type="dxa" w:w="80"/>
              <w:left w:type="dxa" w:w="100"/>
              <w:bottom w:type="dxa" w:w="80"/>
              <w:right w:type="dxa" w:w="100"/>
            </w:tcMar>
          </w:tcPr>
          <w:p>
            <w:r>
              <w:rPr>
                <w:sz w:val="20"/>
                <w:szCs w:val="20"/>
              </w:rPr>
              <w:t xml:space="preserve">What happens if I make this financial decision?</w:t>
            </w:r>
          </w:p>
        </w:tc>
      </w:tr>
      <w:tr>
        <w:tc>
          <w:tcPr>
            <w:tcW w:type="dxa" w:w="3200"/>
            <w:tcMar>
              <w:top w:type="dxa" w:w="80"/>
              <w:left w:type="dxa" w:w="100"/>
              <w:bottom w:type="dxa" w:w="80"/>
              <w:right w:type="dxa" w:w="100"/>
            </w:tcMar>
          </w:tcPr>
          <w:p>
            <w:r>
              <w:rPr>
                <w:sz w:val="20"/>
                <w:szCs w:val="20"/>
              </w:rPr>
              <w:t xml:space="preserve">6 — Alerting</w:t>
            </w:r>
          </w:p>
        </w:tc>
        <w:tc>
          <w:tcPr>
            <w:tcW w:type="dxa" w:w="6300"/>
            <w:tcMar>
              <w:top w:type="dxa" w:w="80"/>
              <w:left w:type="dxa" w:w="100"/>
              <w:bottom w:type="dxa" w:w="80"/>
              <w:right w:type="dxa" w:w="100"/>
            </w:tcMar>
          </w:tcPr>
          <w:p>
            <w:r>
              <w:rPr>
                <w:sz w:val="20"/>
                <w:szCs w:val="20"/>
              </w:rPr>
              <w:t xml:space="preserve">Tell me only when something actually requires my attention.</w:t>
            </w:r>
          </w:p>
        </w:tc>
      </w:tr>
      <w:tr>
        <w:tc>
          <w:tcPr>
            <w:tcW w:type="dxa" w:w="3200"/>
            <w:tcMar>
              <w:top w:type="dxa" w:w="80"/>
              <w:left w:type="dxa" w:w="100"/>
              <w:bottom w:type="dxa" w:w="80"/>
              <w:right w:type="dxa" w:w="100"/>
            </w:tcMar>
          </w:tcPr>
          <w:p>
            <w:r>
              <w:rPr>
                <w:sz w:val="20"/>
                <w:szCs w:val="20"/>
              </w:rPr>
              <w:t xml:space="preserve">7 — Trust</w:t>
            </w:r>
          </w:p>
        </w:tc>
        <w:tc>
          <w:tcPr>
            <w:tcW w:type="dxa" w:w="6300"/>
            <w:tcMar>
              <w:top w:type="dxa" w:w="80"/>
              <w:left w:type="dxa" w:w="100"/>
              <w:bottom w:type="dxa" w:w="80"/>
              <w:right w:type="dxa" w:w="100"/>
            </w:tcMar>
          </w:tcPr>
          <w:p>
            <w:r>
              <w:rPr>
                <w:sz w:val="20"/>
                <w:szCs w:val="20"/>
              </w:rPr>
              <w:t xml:space="preserve">Show me how you calculated the forecast.</w:t>
            </w:r>
          </w:p>
        </w:tc>
      </w:tr>
    </w:tbl>
    <w:p>
      <w:pPr>
        <w:pStyle w:val="Heading1"/>
        <w:spacing w:after="160" w:before="360"/>
      </w:pPr>
      <w:r>
        <w:t xml:space="preserve">6. MVP Product Principles</w:t>
      </w:r>
    </w:p>
    <w:p>
      <w:pPr>
        <w:spacing w:after="140"/>
      </w:pPr>
      <w:r>
        <w:t xml:space="preserve">All features must follow these principles.</w:t>
      </w:r>
    </w:p>
    <w:p>
      <w:pPr>
        <w:spacing w:after="40"/>
      </w:pPr>
      <w:r>
        <w:rPr>
          <w:b/>
          <w:bCs/>
          <w:color w:val="5573FF"/>
          <w:sz w:val="18"/>
          <w:szCs w:val="18"/>
        </w:rPr>
        <w:t xml:space="preserve">6.1 Forecasting is the product</w:t>
      </w:r>
    </w:p>
    <w:p>
      <w:pPr>
        <w:spacing w:after="140"/>
      </w:pPr>
      <w:r>
        <w:t xml:space="preserve">Features should exist primarily to improve forecast accuracy, forecast understanding, and financial decisions.</w:t>
      </w:r>
    </w:p>
    <w:p>
      <w:pPr>
        <w:spacing w:after="40"/>
      </w:pPr>
      <w:r>
        <w:rPr>
          <w:b/>
          <w:bCs/>
          <w:color w:val="5573FF"/>
          <w:sz w:val="18"/>
          <w:szCs w:val="18"/>
        </w:rPr>
        <w:t xml:space="preserve">6.2 Simplicity over feature count</w:t>
      </w:r>
    </w:p>
    <w:p>
      <w:pPr>
        <w:spacing w:after="140"/>
      </w:pPr>
      <w:r>
        <w:t xml:space="preserve">Do not add functionality merely because competitors have it.</w:t>
      </w:r>
    </w:p>
    <w:p>
      <w:pPr>
        <w:spacing w:after="40"/>
      </w:pPr>
      <w:r>
        <w:rPr>
          <w:b/>
          <w:bCs/>
          <w:color w:val="5573FF"/>
          <w:sz w:val="18"/>
          <w:szCs w:val="18"/>
        </w:rPr>
        <w:t xml:space="preserve">6.3 Explain every prediction</w:t>
      </w:r>
    </w:p>
    <w:p>
      <w:pPr>
        <w:spacing w:after="140"/>
      </w:pPr>
      <w:r>
        <w:t xml:space="preserve">Users should be able to understand why a forecast changed.</w:t>
      </w:r>
    </w:p>
    <w:p>
      <w:pPr>
        <w:spacing w:after="40"/>
      </w:pPr>
      <w:r>
        <w:rPr>
          <w:b/>
          <w:bCs/>
          <w:color w:val="5573FF"/>
          <w:sz w:val="18"/>
          <w:szCs w:val="18"/>
        </w:rPr>
        <w:t xml:space="preserve">6.4 Known facts before predictions</w:t>
      </w:r>
    </w:p>
    <w:p>
      <w:pPr>
        <w:spacing w:after="140"/>
      </w:pPr>
      <w:r>
        <w:t xml:space="preserve">MVP forecasting is deterministic. Known income and expenses should be calculated, not “AI predicted.”</w:t>
      </w:r>
    </w:p>
    <w:p>
      <w:pPr>
        <w:spacing w:after="40"/>
      </w:pPr>
      <w:r>
        <w:rPr>
          <w:b/>
          <w:bCs/>
          <w:color w:val="5573FF"/>
          <w:sz w:val="18"/>
          <w:szCs w:val="18"/>
        </w:rPr>
        <w:t xml:space="preserve">6.5 Alert only when useful</w:t>
      </w:r>
    </w:p>
    <w:p>
      <w:pPr>
        <w:spacing w:after="140"/>
      </w:pPr>
      <w:r>
        <w:t xml:space="preserve">Avoid notification fatigue.</w:t>
      </w:r>
    </w:p>
    <w:p>
      <w:pPr>
        <w:spacing w:after="40"/>
      </w:pPr>
      <w:r>
        <w:rPr>
          <w:b/>
          <w:bCs/>
          <w:color w:val="5573FF"/>
          <w:sz w:val="18"/>
          <w:szCs w:val="18"/>
        </w:rPr>
        <w:t xml:space="preserve">6.6 Trust is a product feature</w:t>
      </w:r>
    </w:p>
    <w:p>
      <w:pPr>
        <w:spacing w:after="140"/>
      </w:pPr>
      <w:r>
        <w:t xml:space="preserve">Financial calculations must be transparent.</w:t>
      </w:r>
    </w:p>
    <w:p>
      <w:pPr>
        <w:spacing w:after="40"/>
      </w:pPr>
      <w:r>
        <w:rPr>
          <w:b/>
          <w:bCs/>
          <w:color w:val="5573FF"/>
          <w:sz w:val="18"/>
          <w:szCs w:val="18"/>
        </w:rPr>
        <w:t xml:space="preserve">6.7 Do not become a budgeting application</w:t>
      </w:r>
    </w:p>
    <w:p>
      <w:pPr>
        <w:spacing w:after="140"/>
      </w:pPr>
      <w:r>
        <w:t xml:space="preserve">Transactions, accounts, and categories exist to support forecasting. They must not evolve into envelope budgeting or category micromanagement during MVP. This is an explicit scope guardrail in the PRD.</w:t>
      </w:r>
    </w:p>
    <w:p>
      <w:pPr>
        <w:pStyle w:val="Heading1"/>
        <w:spacing w:after="160" w:before="360"/>
      </w:pPr>
      <w:r>
        <w:t xml:space="preserve">7. MVP Information Architecture</w:t>
      </w:r>
    </w:p>
    <w:p>
      <w:pPr>
        <w:spacing w:after="40"/>
      </w:pPr>
      <w:r>
        <w:rPr>
          <w:b/>
          <w:bCs/>
          <w:color w:val="5573FF"/>
          <w:sz w:val="18"/>
          <w:szCs w:val="18"/>
        </w:rPr>
        <w:t xml:space="preserve">Public</w:t>
      </w:r>
    </w:p>
    <w:p>
      <w:pPr>
        <w:pStyle w:val="ListParagraph"/>
        <w:numPr>
          <w:ilvl w:val="0"/>
          <w:numId w:val="2"/>
        </w:numPr>
        <w:spacing w:after="60"/>
      </w:pPr>
      <w:r>
        <w:t xml:space="preserve">Landing</w:t>
      </w:r>
    </w:p>
    <w:p>
      <w:pPr>
        <w:pStyle w:val="ListParagraph"/>
        <w:numPr>
          <w:ilvl w:val="1"/>
          <w:numId w:val="2"/>
        </w:numPr>
        <w:spacing w:after="60"/>
      </w:pPr>
      <w:r>
        <w:t xml:space="preserve">Sign In</w:t>
      </w:r>
    </w:p>
    <w:p>
      <w:pPr>
        <w:pStyle w:val="ListParagraph"/>
        <w:numPr>
          <w:ilvl w:val="1"/>
          <w:numId w:val="2"/>
        </w:numPr>
        <w:spacing w:after="60"/>
      </w:pPr>
      <w:r>
        <w:t xml:space="preserve">Sign Up</w:t>
      </w:r>
    </w:p>
    <w:p>
      <w:pPr>
        <w:spacing w:after="40"/>
      </w:pPr>
      <w:r>
        <w:rPr>
          <w:b/>
          <w:bCs/>
          <w:color w:val="5573FF"/>
          <w:sz w:val="18"/>
          <w:szCs w:val="18"/>
        </w:rPr>
        <w:t xml:space="preserve">Authenticated</w:t>
      </w:r>
    </w:p>
    <w:p>
      <w:pPr>
        <w:pStyle w:val="ListParagraph"/>
        <w:numPr>
          <w:ilvl w:val="0"/>
          <w:numId w:val="2"/>
        </w:numPr>
        <w:spacing w:after="60"/>
      </w:pPr>
      <w:r>
        <w:t xml:space="preserve">Onboarding</w:t>
      </w:r>
    </w:p>
    <w:p>
      <w:pPr>
        <w:pStyle w:val="ListParagraph"/>
        <w:numPr>
          <w:ilvl w:val="0"/>
          <w:numId w:val="2"/>
        </w:numPr>
        <w:spacing w:after="60"/>
      </w:pPr>
      <w:r>
        <w:t xml:space="preserve">Application</w:t>
      </w:r>
    </w:p>
    <w:p>
      <w:pPr>
        <w:pStyle w:val="ListParagraph"/>
        <w:numPr>
          <w:ilvl w:val="1"/>
          <w:numId w:val="2"/>
        </w:numPr>
        <w:spacing w:after="60"/>
      </w:pPr>
      <w:r>
        <w:t xml:space="preserve">Dashboard</w:t>
      </w:r>
    </w:p>
    <w:p>
      <w:pPr>
        <w:pStyle w:val="ListParagraph"/>
        <w:numPr>
          <w:ilvl w:val="1"/>
          <w:numId w:val="2"/>
        </w:numPr>
        <w:spacing w:after="60"/>
      </w:pPr>
      <w:r>
        <w:t xml:space="preserve">Forecast</w:t>
      </w:r>
    </w:p>
    <w:p>
      <w:pPr>
        <w:pStyle w:val="ListParagraph"/>
        <w:numPr>
          <w:ilvl w:val="1"/>
          <w:numId w:val="2"/>
        </w:numPr>
        <w:spacing w:after="60"/>
      </w:pPr>
      <w:r>
        <w:t xml:space="preserve">Scenario Planner</w:t>
      </w:r>
    </w:p>
    <w:p>
      <w:pPr>
        <w:pStyle w:val="ListParagraph"/>
        <w:numPr>
          <w:ilvl w:val="1"/>
          <w:numId w:val="2"/>
        </w:numPr>
        <w:spacing w:after="60"/>
      </w:pPr>
      <w:r>
        <w:t xml:space="preserve">Transactions</w:t>
      </w:r>
    </w:p>
    <w:p>
      <w:pPr>
        <w:pStyle w:val="ListParagraph"/>
        <w:numPr>
          <w:ilvl w:val="1"/>
          <w:numId w:val="2"/>
        </w:numPr>
        <w:spacing w:after="60"/>
      </w:pPr>
      <w:r>
        <w:t xml:space="preserve">Accounts</w:t>
      </w:r>
    </w:p>
    <w:p>
      <w:pPr>
        <w:pStyle w:val="ListParagraph"/>
        <w:numPr>
          <w:ilvl w:val="1"/>
          <w:numId w:val="2"/>
        </w:numPr>
        <w:spacing w:after="60"/>
      </w:pPr>
      <w:r>
        <w:t xml:space="preserve">Alerts</w:t>
      </w:r>
    </w:p>
    <w:p>
      <w:pPr>
        <w:pStyle w:val="ListParagraph"/>
        <w:numPr>
          <w:ilvl w:val="1"/>
          <w:numId w:val="2"/>
        </w:numPr>
        <w:spacing w:after="60"/>
      </w:pPr>
      <w:r>
        <w:t xml:space="preserve">Settings</w:t>
      </w:r>
    </w:p>
    <w:p>
      <w:pPr>
        <w:spacing w:after="140"/>
      </w:pPr>
      <w:r>
        <w:t xml:space="preserve">Primary navigation priority, top to bottom: Dashboard, Forecast, Scenario Planner — then Transactions, Accounts, Alerts — then Settings. Recurring items should not initially require a major standalone navigation destination; they are supporting forecast data.</w:t>
      </w:r>
    </w:p>
    <w:p>
      <w:pPr>
        <w:pStyle w:val="Heading1"/>
        <w:spacing w:after="160" w:before="360"/>
      </w:pPr>
      <w:r>
        <w:t xml:space="preserve">8. Data Entry Model</w:t>
      </w:r>
    </w:p>
    <w:p>
      <w:pPr>
        <w:spacing w:after="140"/>
      </w:pPr>
      <w:r>
        <w:t xml:space="preserve">FlowSight supports three conceptual data methods.</w:t>
      </w:r>
    </w:p>
    <w:p>
      <w:pPr>
        <w:pStyle w:val="Heading2"/>
        <w:spacing w:after="120" w:before="240"/>
      </w:pPr>
      <w:r>
        <w:t xml:space="preserve">8.1 Manual Entry — MVP</w:t>
      </w:r>
    </w:p>
    <w:p>
      <w:pPr>
        <w:spacing w:after="140"/>
      </w:pPr>
      <w:r>
        <w:t xml:space="preserve">Recommended initial method. User manually provides account/current balance, recurring income, recurring bills, and a safety buffer.</w:t>
      </w:r>
    </w:p>
    <w:p>
      <w:pPr>
        <w:spacing w:after="140"/>
      </w:pPr>
      <w:r>
        <w:t xml:space="preserve">Advantages: fastest implementation, high privacy, immediately validates forecasting, no third-party financial integration required.</w:t>
      </w:r>
    </w:p>
    <w:p>
      <w:pPr>
        <w:pStyle w:val="Heading2"/>
        <w:spacing w:after="120" w:before="240"/>
      </w:pPr>
      <w:r>
        <w:t xml:space="preserve">8.2 CSV Import — MVP</w:t>
      </w:r>
    </w:p>
    <w:p>
      <w:pPr>
        <w:spacing w:after="140"/>
      </w:pPr>
      <w:r>
        <w:t xml:space="preserve">Users upload bank-exported transaction files. CSV supports historical transactions, faster onboarding, recurring transaction identification, and privacy-conscious users. CSV does not provide automatic ongoing synchronization.</w:t>
      </w:r>
    </w:p>
    <w:p>
      <w:pPr>
        <w:pStyle w:val="Heading2"/>
        <w:spacing w:after="120" w:before="240"/>
      </w:pPr>
      <w:r>
        <w:t xml:space="preserve">8.3 Connected Bank — Post-validation</w:t>
      </w:r>
    </w:p>
    <w:p>
      <w:pPr>
        <w:spacing w:after="140"/>
      </w:pPr>
      <w:r>
        <w:t xml:space="preserve">Future Plaid integration. Capabilities: automatic balances, transaction synchronization, multiple financial institutions, lower maintenance. MVP UI may show “Connect Bank — Coming Later.” It must not pretend bank sync is available when it is not.</w:t>
      </w:r>
    </w:p>
    <w:p>
      <w:pPr>
        <w:pStyle w:val="Heading1"/>
        <w:spacing w:after="160" w:before="360"/>
      </w:pPr>
      <w:r>
        <w:t xml:space="preserve">9. Important Conceptual Distinction</w:t>
      </w:r>
    </w:p>
    <w:p>
      <w:pPr>
        <w:spacing w:after="140"/>
      </w:pPr>
      <w:r>
        <w:t xml:space="preserve">An Account is not a data-entry method.</w:t>
      </w:r>
    </w:p>
    <w:p>
      <w:pPr>
        <w:spacing w:after="40"/>
      </w:pPr>
      <w:r>
        <w:rPr>
          <w:b/>
          <w:bCs/>
          <w:color w:val="5573FF"/>
          <w:sz w:val="18"/>
          <w:szCs w:val="18"/>
        </w:rPr>
        <w:t xml:space="preserve">Account example</w:t>
      </w:r>
    </w:p>
    <w:p>
      <w:pPr>
        <w:pStyle w:val="ListParagraph"/>
        <w:numPr>
          <w:ilvl w:val="0"/>
          <w:numId w:val="2"/>
        </w:numPr>
        <w:spacing w:after="60"/>
      </w:pPr>
      <w:r>
        <w:t xml:space="preserve">Chase Checking — Balance: $3,840 — Currency: USD</w:t>
      </w:r>
    </w:p>
    <w:p>
      <w:pPr>
        <w:spacing w:after="40"/>
      </w:pPr>
      <w:r>
        <w:rPr>
          <w:b/>
          <w:bCs/>
          <w:color w:val="5573FF"/>
          <w:sz w:val="18"/>
          <w:szCs w:val="18"/>
        </w:rPr>
        <w:t xml:space="preserve">Data source (per account)</w:t>
      </w:r>
    </w:p>
    <w:p>
      <w:pPr>
        <w:pStyle w:val="ListParagraph"/>
        <w:numPr>
          <w:ilvl w:val="0"/>
          <w:numId w:val="2"/>
        </w:numPr>
        <w:spacing w:after="60"/>
      </w:pPr>
      <w:r>
        <w:t xml:space="preserve">Manual</w:t>
      </w:r>
    </w:p>
    <w:p>
      <w:pPr>
        <w:pStyle w:val="ListParagraph"/>
        <w:numPr>
          <w:ilvl w:val="0"/>
          <w:numId w:val="2"/>
        </w:numPr>
        <w:spacing w:after="60"/>
      </w:pPr>
      <w:r>
        <w:t xml:space="preserve">CSV</w:t>
      </w:r>
    </w:p>
    <w:p>
      <w:pPr>
        <w:pStyle w:val="ListParagraph"/>
        <w:numPr>
          <w:ilvl w:val="0"/>
          <w:numId w:val="2"/>
        </w:numPr>
        <w:spacing w:after="60"/>
      </w:pPr>
      <w:r>
        <w:t xml:space="preserve">Future: Plaid</w:t>
      </w:r>
    </w:p>
    <w:p>
      <w:pPr>
        <w:spacing w:after="140"/>
      </w:pPr>
      <w:r>
        <w:t xml:space="preserve">Architecture: an Account sits above its data source — Manual, CSV, or (future) Plaid feed the same Account object.</w:t>
      </w:r>
    </w:p>
    <w:p>
      <w:pPr>
        <w:pStyle w:val="Heading1"/>
        <w:spacing w:after="160" w:before="360"/>
      </w:pPr>
      <w:r>
        <w:t xml:space="preserve">10. Landing Page</w:t>
      </w:r>
    </w:p>
    <w:p>
      <w:pPr>
        <w:spacing w:after="140"/>
      </w:pPr>
      <w:r>
        <w:t xml:space="preserve">Purpose: explain FlowSight clearly and convert visitors into users/beta participants. The user should understand within seconds: “FlowSight shows what is likely to happen to my money next.”</w:t>
      </w:r>
    </w:p>
    <w:p>
      <w:pPr>
        <w:pStyle w:val="Heading2"/>
        <w:spacing w:after="120" w:before="240"/>
      </w:pPr>
      <w:r>
        <w:t xml:space="preserve">10.1 Navigation</w:t>
      </w:r>
    </w:p>
    <w:p>
      <w:pPr>
        <w:spacing w:after="140"/>
      </w:pPr>
      <w:r>
        <w:t xml:space="preserve">FlowSight logo; Features; How It Works; Security; Sign In; primary CTA (“Get Started,” or “Join Beta” during closed beta).</w:t>
      </w:r>
    </w:p>
    <w:p>
      <w:pPr>
        <w:pStyle w:val="Heading2"/>
        <w:spacing w:after="120" w:before="240"/>
      </w:pPr>
      <w:r>
        <w:t xml:space="preserve">10.2 Hero</w:t>
      </w:r>
    </w:p>
    <w:p>
      <w:pPr>
        <w:spacing w:after="140"/>
      </w:pPr>
      <w:r>
        <w:t xml:space="preserve">Primary headline: “See what's next for your money.” Supporting message: “Most finance apps tell you where your money went. FlowSight shows where it's going.” Primary CTA: “Get Started.” Secondary CTA: “See How It Works.”</w:t>
      </w:r>
    </w:p>
    <w:p>
      <w:pPr>
        <w:pStyle w:val="Heading2"/>
        <w:spacing w:after="120" w:before="240"/>
      </w:pPr>
      <w:r>
        <w:t xml:space="preserve">10.3 Product Preview</w:t>
      </w:r>
    </w:p>
    <w:p>
      <w:pPr>
        <w:spacing w:after="140"/>
      </w:pPr>
      <w:r>
        <w:t xml:space="preserve">Interactive or animated representation of financial status, Safe to Spend, forecast chart, upcoming events, and Scenario Planner. Avoid fake unsupported statistics — no claims such as “94% forecast accuracy” unless empirically validated.</w:t>
      </w:r>
    </w:p>
    <w:p>
      <w:pPr>
        <w:pStyle w:val="Heading2"/>
        <w:spacing w:after="120" w:before="240"/>
      </w:pPr>
      <w:r>
        <w:t xml:space="preserve">10.4 Problem Comparison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0B1220" w:val="clear"/>
            <w:tcMar>
              <w:top w:type="dxa" w:w="80"/>
              <w:left w:type="dxa" w:w="100"/>
              <w:bottom w:type="dxa" w:w="80"/>
              <w:right w:type="dxa" w:w="100"/>
            </w:tcMar>
            <w:vAlign w:val="center"/>
          </w:tcPr>
          <w:p>
            <w:r>
              <w:rPr>
                <w:b/>
                <w:bCs/>
                <w:color w:val="FFFFFF"/>
                <w:sz w:val="20"/>
                <w:szCs w:val="20"/>
              </w:rPr>
              <w:t xml:space="preserve">Traditional apps</w:t>
            </w:r>
          </w:p>
        </w:tc>
        <w:tc>
          <w:tcPr>
            <w:tcW w:type="dxa" w:w="4750"/>
            <w:shd w:fill="0B1220" w:val="clear"/>
            <w:tcMar>
              <w:top w:type="dxa" w:w="80"/>
              <w:left w:type="dxa" w:w="100"/>
              <w:bottom w:type="dxa" w:w="80"/>
              <w:right w:type="dxa" w:w="100"/>
            </w:tcMar>
            <w:vAlign w:val="center"/>
          </w:tcPr>
          <w:p>
            <w:r>
              <w:rPr>
                <w:b/>
                <w:bCs/>
                <w:color w:val="FFFFFF"/>
                <w:sz w:val="20"/>
                <w:szCs w:val="20"/>
              </w:rPr>
              <w:t xml:space="preserve">FlowSight</w:t>
            </w:r>
          </w:p>
        </w:tc>
      </w:tr>
      <w:tr>
        <w:tc>
          <w:tcPr>
            <w:tcW w:type="dxa" w:w="4750"/>
            <w:tcMar>
              <w:top w:type="dxa" w:w="80"/>
              <w:left w:type="dxa" w:w="100"/>
              <w:bottom w:type="dxa" w:w="80"/>
              <w:right w:type="dxa" w:w="100"/>
            </w:tcMar>
          </w:tcPr>
          <w:p>
            <w:r>
              <w:rPr>
                <w:sz w:val="20"/>
                <w:szCs w:val="20"/>
              </w:rPr>
              <w:t xml:space="preserve">Past spending</w:t>
            </w:r>
          </w:p>
        </w:tc>
        <w:tc>
          <w:tcPr>
            <w:tcW w:type="dxa" w:w="4750"/>
            <w:tcMar>
              <w:top w:type="dxa" w:w="80"/>
              <w:left w:type="dxa" w:w="100"/>
              <w:bottom w:type="dxa" w:w="80"/>
              <w:right w:type="dxa" w:w="100"/>
            </w:tcMar>
          </w:tcPr>
          <w:p>
            <w:r>
              <w:rPr>
                <w:sz w:val="20"/>
                <w:szCs w:val="20"/>
              </w:rPr>
              <w:t xml:space="preserve">Future balance</w:t>
            </w:r>
          </w:p>
        </w:tc>
      </w:tr>
      <w:tr>
        <w:tc>
          <w:tcPr>
            <w:tcW w:type="dxa" w:w="4750"/>
            <w:tcMar>
              <w:top w:type="dxa" w:w="80"/>
              <w:left w:type="dxa" w:w="100"/>
              <w:bottom w:type="dxa" w:w="80"/>
              <w:right w:type="dxa" w:w="100"/>
            </w:tcMar>
          </w:tcPr>
          <w:p>
            <w:r>
              <w:rPr>
                <w:sz w:val="20"/>
                <w:szCs w:val="20"/>
              </w:rPr>
              <w:t xml:space="preserve">Categories</w:t>
            </w:r>
          </w:p>
        </w:tc>
        <w:tc>
          <w:tcPr>
            <w:tcW w:type="dxa" w:w="4750"/>
            <w:tcMar>
              <w:top w:type="dxa" w:w="80"/>
              <w:left w:type="dxa" w:w="100"/>
              <w:bottom w:type="dxa" w:w="80"/>
              <w:right w:type="dxa" w:w="100"/>
            </w:tcMar>
          </w:tcPr>
          <w:p>
            <w:r>
              <w:rPr>
                <w:sz w:val="20"/>
                <w:szCs w:val="20"/>
              </w:rPr>
              <w:t xml:space="preserve">Upcoming risk</w:t>
            </w:r>
          </w:p>
        </w:tc>
      </w:tr>
      <w:tr>
        <w:tc>
          <w:tcPr>
            <w:tcW w:type="dxa" w:w="4750"/>
            <w:tcMar>
              <w:top w:type="dxa" w:w="80"/>
              <w:left w:type="dxa" w:w="100"/>
              <w:bottom w:type="dxa" w:w="80"/>
              <w:right w:type="dxa" w:w="100"/>
            </w:tcMar>
          </w:tcPr>
          <w:p>
            <w:r>
              <w:rPr>
                <w:sz w:val="20"/>
                <w:szCs w:val="20"/>
              </w:rPr>
              <w:t xml:space="preserve">Monthly totals</w:t>
            </w:r>
          </w:p>
        </w:tc>
        <w:tc>
          <w:tcPr>
            <w:tcW w:type="dxa" w:w="4750"/>
            <w:tcMar>
              <w:top w:type="dxa" w:w="80"/>
              <w:left w:type="dxa" w:w="100"/>
              <w:bottom w:type="dxa" w:w="80"/>
              <w:right w:type="dxa" w:w="100"/>
            </w:tcMar>
          </w:tcPr>
          <w:p>
            <w:r>
              <w:rPr>
                <w:sz w:val="20"/>
                <w:szCs w:val="20"/>
              </w:rPr>
              <w:t xml:space="preserve">Safe to Spend</w:t>
            </w:r>
          </w:p>
        </w:tc>
      </w:tr>
      <w:tr>
        <w:tc>
          <w:tcPr>
            <w:tcW w:type="dxa" w:w="4750"/>
            <w:tcMar>
              <w:top w:type="dxa" w:w="80"/>
              <w:left w:type="dxa" w:w="100"/>
              <w:bottom w:type="dxa" w:w="80"/>
              <w:right w:type="dxa" w:w="100"/>
            </w:tcMar>
          </w:tcPr>
          <w:p>
            <w:r>
              <w:rPr>
                <w:sz w:val="20"/>
                <w:szCs w:val="20"/>
              </w:rPr>
              <w:t xml:space="preserve">Budgets</w:t>
            </w:r>
          </w:p>
        </w:tc>
        <w:tc>
          <w:tcPr>
            <w:tcW w:type="dxa" w:w="4750"/>
            <w:tcMar>
              <w:top w:type="dxa" w:w="80"/>
              <w:left w:type="dxa" w:w="100"/>
              <w:bottom w:type="dxa" w:w="80"/>
              <w:right w:type="dxa" w:w="100"/>
            </w:tcMar>
          </w:tcPr>
          <w:p>
            <w:r>
              <w:rPr>
                <w:sz w:val="20"/>
                <w:szCs w:val="20"/>
              </w:rPr>
              <w:t xml:space="preserve">Scenario decisions</w:t>
            </w:r>
          </w:p>
        </w:tc>
      </w:tr>
    </w:tbl>
    <w:p>
      <w:pPr>
        <w:pStyle w:val="Heading2"/>
        <w:spacing w:after="120" w:before="240"/>
      </w:pPr>
      <w:r>
        <w:t xml:space="preserve">10.5 Features</w:t>
      </w:r>
    </w:p>
    <w:p>
      <w:pPr>
        <w:pStyle w:val="ListParagraph"/>
        <w:numPr>
          <w:ilvl w:val="0"/>
          <w:numId w:val="2"/>
        </w:numPr>
        <w:spacing w:after="60"/>
      </w:pPr>
      <w:r>
        <w:t xml:space="preserve">Cash-Flow Forecast</w:t>
      </w:r>
    </w:p>
    <w:p>
      <w:pPr>
        <w:pStyle w:val="ListParagraph"/>
        <w:numPr>
          <w:ilvl w:val="0"/>
          <w:numId w:val="2"/>
        </w:numPr>
        <w:spacing w:after="60"/>
      </w:pPr>
      <w:r>
        <w:t xml:space="preserve">Safe to Spend</w:t>
      </w:r>
    </w:p>
    <w:p>
      <w:pPr>
        <w:pStyle w:val="ListParagraph"/>
        <w:numPr>
          <w:ilvl w:val="0"/>
          <w:numId w:val="2"/>
        </w:numPr>
        <w:spacing w:after="60"/>
      </w:pPr>
      <w:r>
        <w:t xml:space="preserve">Scenario Planner</w:t>
      </w:r>
    </w:p>
    <w:p>
      <w:pPr>
        <w:pStyle w:val="ListParagraph"/>
        <w:numPr>
          <w:ilvl w:val="0"/>
          <w:numId w:val="2"/>
        </w:numPr>
        <w:spacing w:after="60"/>
      </w:pPr>
      <w:r>
        <w:t xml:space="preserve">Actionable Alerts</w:t>
      </w:r>
    </w:p>
    <w:p>
      <w:pPr>
        <w:pStyle w:val="ListParagraph"/>
        <w:numPr>
          <w:ilvl w:val="0"/>
          <w:numId w:val="2"/>
        </w:numPr>
        <w:spacing w:after="60"/>
      </w:pPr>
      <w:r>
        <w:t xml:space="preserve">Explainable Forecasts</w:t>
      </w:r>
    </w:p>
    <w:p>
      <w:pPr>
        <w:pStyle w:val="Heading2"/>
        <w:spacing w:after="120" w:before="240"/>
      </w:pPr>
      <w:r>
        <w:t xml:space="preserve">10.6 Security and Trust</w:t>
      </w:r>
    </w:p>
    <w:p>
      <w:pPr>
        <w:spacing w:after="140"/>
      </w:pPr>
      <w:r>
        <w:t xml:space="preserve">Explain user data privacy, secure authentication, transparent calculations, manual mode, CSV support, and future read-only bank connectivity. Avoid implying Plaid is currently available.</w:t>
      </w:r>
    </w:p>
    <w:p>
      <w:pPr>
        <w:pStyle w:val="Heading2"/>
        <w:spacing w:after="120" w:before="240"/>
      </w:pPr>
      <w:r>
        <w:t xml:space="preserve">10.7 FAQ</w:t>
      </w:r>
    </w:p>
    <w:p>
      <w:pPr>
        <w:pStyle w:val="ListParagraph"/>
        <w:numPr>
          <w:ilvl w:val="0"/>
          <w:numId w:val="2"/>
        </w:numPr>
        <w:spacing w:after="60"/>
      </w:pPr>
      <w:r>
        <w:t xml:space="preserve">Is FlowSight a budgeting app?</w:t>
      </w:r>
    </w:p>
    <w:p>
      <w:pPr>
        <w:pStyle w:val="ListParagraph"/>
        <w:numPr>
          <w:ilvl w:val="0"/>
          <w:numId w:val="2"/>
        </w:numPr>
        <w:spacing w:after="60"/>
      </w:pPr>
      <w:r>
        <w:t xml:space="preserve">How does forecasting work?</w:t>
      </w:r>
    </w:p>
    <w:p>
      <w:pPr>
        <w:pStyle w:val="ListParagraph"/>
        <w:numPr>
          <w:ilvl w:val="0"/>
          <w:numId w:val="2"/>
        </w:numPr>
        <w:spacing w:after="60"/>
      </w:pPr>
      <w:r>
        <w:t xml:space="preserve">Do I need to connect my bank?</w:t>
      </w:r>
    </w:p>
    <w:p>
      <w:pPr>
        <w:pStyle w:val="ListParagraph"/>
        <w:numPr>
          <w:ilvl w:val="0"/>
          <w:numId w:val="2"/>
        </w:numPr>
        <w:spacing w:after="60"/>
      </w:pPr>
      <w:r>
        <w:t xml:space="preserve">Can I use CSV?</w:t>
      </w:r>
    </w:p>
    <w:p>
      <w:pPr>
        <w:pStyle w:val="ListParagraph"/>
        <w:numPr>
          <w:ilvl w:val="0"/>
          <w:numId w:val="2"/>
        </w:numPr>
        <w:spacing w:after="60"/>
      </w:pPr>
      <w:r>
        <w:t xml:space="preserve">How is Safe to Spend calculated?</w:t>
      </w:r>
    </w:p>
    <w:p>
      <w:pPr>
        <w:pStyle w:val="ListParagraph"/>
        <w:numPr>
          <w:ilvl w:val="0"/>
          <w:numId w:val="2"/>
        </w:numPr>
        <w:spacing w:after="60"/>
      </w:pPr>
      <w:r>
        <w:t xml:space="preserve">Does FlowSight use AI?</w:t>
      </w:r>
    </w:p>
    <w:p>
      <w:pPr>
        <w:pStyle w:val="ListParagraph"/>
        <w:numPr>
          <w:ilvl w:val="0"/>
          <w:numId w:val="2"/>
        </w:numPr>
        <w:spacing w:after="60"/>
      </w:pPr>
      <w:r>
        <w:t xml:space="preserve">Is my financial data secure?</w:t>
      </w:r>
    </w:p>
    <w:p>
      <w:pPr>
        <w:pStyle w:val="Heading1"/>
        <w:spacing w:after="160" w:before="360"/>
      </w:pPr>
      <w:r>
        <w:t xml:space="preserve">11. Authentication</w:t>
      </w:r>
    </w:p>
    <w:p>
      <w:pPr>
        <w:spacing w:after="140"/>
      </w:pPr>
      <w:r>
        <w:t xml:space="preserve">MVP supports: Email + Password. Not MVP: Google authentication, Apple authentication, Magic Link, passkeys.</w:t>
      </w:r>
    </w:p>
    <w:p>
      <w:pPr>
        <w:pStyle w:val="Heading2"/>
        <w:spacing w:after="120" w:before="240"/>
      </w:pPr>
      <w:r>
        <w:t xml:space="preserve">11.1 Sign Up</w:t>
      </w:r>
    </w:p>
    <w:p>
      <w:pPr>
        <w:spacing w:after="140"/>
      </w:pPr>
      <w:r>
        <w:t xml:space="preserve">Fields: Name, Email, Password, Confirm Password, Terms acceptance. CTA: “Create Account.” Success: account created → Onboarding.</w:t>
      </w:r>
    </w:p>
    <w:p>
      <w:pPr>
        <w:pStyle w:val="Heading2"/>
        <w:spacing w:after="120" w:before="240"/>
      </w:pPr>
      <w:r>
        <w:t xml:space="preserve">11.2 Sign In</w:t>
      </w:r>
    </w:p>
    <w:p>
      <w:pPr>
        <w:spacing w:after="140"/>
      </w:pPr>
      <w:r>
        <w:t xml:space="preserve">Fields: Email, Password, Remember me. Functions: Sign In, Forgot Password, link to Sign Up. Success routing: if onboarding incomplete → Onboarding; otherwise → Dashboard.</w:t>
      </w:r>
    </w:p>
    <w:p>
      <w:pPr>
        <w:pStyle w:val="Heading1"/>
        <w:spacing w:after="160" w:before="360"/>
      </w:pPr>
      <w:r>
        <w:t xml:space="preserve">12. Onboarding</w:t>
      </w:r>
    </w:p>
    <w:p>
      <w:pPr>
        <w:spacing w:after="140"/>
      </w:pPr>
      <w:r>
        <w:t xml:space="preserve">Goal: generate the first useful forecast as quickly as possible. Target experience: approximately 2–5 minutes for manual setup.</w:t>
      </w:r>
    </w:p>
    <w:p>
      <w:pPr>
        <w:pStyle w:val="Heading2"/>
        <w:spacing w:after="120" w:before="240"/>
      </w:pPr>
      <w:r>
        <w:t xml:space="preserve">13. Step 1 — Welcome</w:t>
      </w:r>
    </w:p>
    <w:p>
      <w:pPr>
        <w:spacing w:after="140"/>
      </w:pPr>
      <w:r>
        <w:t xml:space="preserve">Explain: “FlowSight helps you see what's coming and whether your money is safe over the next few weeks.” CTA: “Get Started.” Do not overwhelm users with technical explanations.</w:t>
      </w:r>
    </w:p>
    <w:p>
      <w:pPr>
        <w:pStyle w:val="Heading2"/>
        <w:spacing w:after="120" w:before="240"/>
      </w:pPr>
      <w:r>
        <w:t xml:space="preserve">14. Step 2 — Choose Data Source</w:t>
      </w:r>
    </w:p>
    <w:p>
      <w:pPr>
        <w:pStyle w:val="ListParagraph"/>
        <w:numPr>
          <w:ilvl w:val="0"/>
          <w:numId w:val="2"/>
        </w:numPr>
        <w:spacing w:after="60"/>
      </w:pPr>
      <w:r>
        <w:t xml:space="preserve">Enter Manually — recommended MVP path. Copy: “Add your balance, income, and recurring bills. Takes about 2 minutes.”</w:t>
      </w:r>
    </w:p>
    <w:p>
      <w:pPr>
        <w:pStyle w:val="ListParagraph"/>
        <w:numPr>
          <w:ilvl w:val="0"/>
          <w:numId w:val="2"/>
        </w:numPr>
        <w:spacing w:after="60"/>
      </w:pPr>
      <w:r>
        <w:t xml:space="preserve">Import CSV — copy: “Import transactions exported from your bank without connecting your account.”</w:t>
      </w:r>
    </w:p>
    <w:p>
      <w:pPr>
        <w:pStyle w:val="ListParagraph"/>
        <w:numPr>
          <w:ilvl w:val="0"/>
          <w:numId w:val="2"/>
        </w:numPr>
        <w:spacing w:after="60"/>
      </w:pPr>
      <w:r>
        <w:t xml:space="preserve">Connect Bank — status: “Coming later.” Do not allow fake Plaid behavior.</w:t>
      </w:r>
    </w:p>
    <w:p>
      <w:pPr>
        <w:pStyle w:val="Heading2"/>
        <w:spacing w:after="120" w:before="240"/>
      </w:pPr>
      <w:r>
        <w:t xml:space="preserve">15. Manual Setup Flow — Current Balance</w:t>
      </w:r>
    </w:p>
    <w:p>
      <w:pPr>
        <w:spacing w:after="140"/>
      </w:pPr>
      <w:r>
        <w:t xml:space="preserve">Required: balance. Optional: account name (default “Primary Checking”). Currency: USD. MVP may support only one operational currency per user.</w:t>
      </w:r>
    </w:p>
    <w:p>
      <w:pPr>
        <w:spacing w:after="140"/>
      </w:pPr>
      <w:r>
        <w:t xml:space="preserve">Example — Account: Chase Checking; Current Balance: $3,840.</w:t>
      </w:r>
    </w:p>
    <w:p>
      <w:pPr>
        <w:pStyle w:val="Heading2"/>
        <w:spacing w:after="120" w:before="240"/>
      </w:pPr>
      <w:r>
        <w:t xml:space="preserve">16. Recurring Income</w:t>
      </w:r>
    </w:p>
    <w:p>
      <w:pPr>
        <w:spacing w:after="140"/>
      </w:pPr>
      <w:r>
        <w:t xml:space="preserve">User can add zero or more income rules. Fields: Name, Amount, Frequency, Next payment date. Example: Salary, $2,700, Every 2 weeks, Next: July 31.</w:t>
      </w:r>
    </w:p>
    <w:p>
      <w:pPr>
        <w:spacing w:after="140"/>
      </w:pPr>
      <w:r>
        <w:t xml:space="preserve">Supported frequencies: weekly, every two weeks, twice monthly, monthly, custom if technically simple. Each income item generates future financial events.</w:t>
      </w:r>
    </w:p>
    <w:p>
      <w:pPr>
        <w:pStyle w:val="Heading2"/>
        <w:spacing w:after="120" w:before="240"/>
      </w:pPr>
      <w:r>
        <w:t xml:space="preserve">17. Recurring Bills</w:t>
      </w:r>
    </w:p>
    <w:p>
      <w:pPr>
        <w:spacing w:after="140"/>
      </w:pPr>
      <w:r>
        <w:t xml:space="preserve">User adds known recurring obligations. Fields: Name, Amount, Frequency, Next due date. Example: Rent, $1,650, Monthly, Next due: August 1. Other examples: insurance, car payment, phone, internet, subscriptions.</w:t>
      </w:r>
    </w:p>
    <w:p>
      <w:pPr>
        <w:pStyle w:val="Heading2"/>
        <w:spacing w:after="120" w:before="240"/>
      </w:pPr>
      <w:r>
        <w:t xml:space="preserve">17.1 Variable Recurring Bills</w:t>
      </w:r>
    </w:p>
    <w:p>
      <w:pPr>
        <w:spacing w:after="140"/>
      </w:pPr>
      <w:r>
        <w:t xml:space="preserve">For bills whose amount varies (e.g. Electricity, Estimated: ~$95, Monthly), FlowSight must distinguish a Confirmed amount from an Estimated amount. MVP can initially allow users to manually update estimates.</w:t>
      </w:r>
    </w:p>
    <w:p>
      <w:pPr>
        <w:pStyle w:val="Heading2"/>
        <w:spacing w:after="120" w:before="240"/>
      </w:pPr>
      <w:r>
        <w:t xml:space="preserve">18. Safety Buffer</w:t>
      </w:r>
    </w:p>
    <w:p>
      <w:pPr>
        <w:spacing w:after="140"/>
      </w:pPr>
      <w:r>
        <w:t xml:space="preserve">Question: “How much money do you prefer to always keep available?” Options: $0, $100, $300, $500, Custom. Example: Safety Buffer $300. This is not a savings goal — it represents the user's preferred minimum available cash.</w:t>
      </w:r>
    </w:p>
    <w:p>
      <w:pPr>
        <w:pStyle w:val="Heading2"/>
        <w:spacing w:after="120" w:before="240"/>
      </w:pPr>
      <w:r>
        <w:t xml:space="preserve">19. Generate Forecast</w:t>
      </w:r>
    </w:p>
    <w:p>
      <w:pPr>
        <w:spacing w:after="140"/>
      </w:pPr>
      <w:r>
        <w:t xml:space="preserve">Display a short processing state: “Preparing your forecast...” with checks for current balance, upcoming income, upcoming bills, and safety buffer. Avoid fake “AI thinking” animations — the calculation is deterministic.</w:t>
      </w:r>
    </w:p>
    <w:p>
      <w:pPr>
        <w:pStyle w:val="Heading2"/>
        <w:spacing w:after="120" w:before="240"/>
      </w:pPr>
      <w:r>
        <w:t xml:space="preserve">20. Forecast Ready</w:t>
      </w:r>
    </w:p>
    <w:p>
      <w:pPr>
        <w:spacing w:after="140"/>
      </w:pPr>
      <w:r>
        <w:t xml:space="preserve">Display immediate value, e.g.: “Your forecast is ready. You're safe through August 18.” Current Balance $3,840; Safe to Spend $820; Lowest Projected Balance $1,120. CTA: “View Dashboard.”</w:t>
      </w:r>
    </w:p>
    <w:p>
      <w:pPr>
        <w:pStyle w:val="Heading1"/>
        <w:spacing w:after="160" w:before="360"/>
      </w:pPr>
      <w:r>
        <w:t xml:space="preserve">21. CSV Import Flow</w:t>
      </w:r>
    </w:p>
    <w:p>
      <w:pPr>
        <w:spacing w:after="140"/>
      </w:pPr>
      <w:r>
        <w:t xml:space="preserve">CSV onboarding differs from manual onboarding: Upload CSV → Parse file → Map columns → Preview transactions → Validate → Import → Identify possible recurring items → User confirms → Set current balance → Safety buffer → Forecast.</w:t>
      </w:r>
    </w:p>
    <w:p>
      <w:pPr>
        <w:pStyle w:val="Heading2"/>
        <w:spacing w:after="120" w:before="240"/>
      </w:pPr>
      <w:r>
        <w:t xml:space="preserve">22. CSV Upload</w:t>
      </w:r>
    </w:p>
    <w:p>
      <w:pPr>
        <w:spacing w:after="140"/>
      </w:pPr>
      <w:r>
        <w:t xml:space="preserve">Supported initial format: .csv. Validation: valid file, reasonable size, readable rows, identifiable transaction date, amount fields. Errors must be human-readable, e.g.: “We couldn't identify an amount column. Choose which column contains transaction amounts.”</w:t>
      </w:r>
    </w:p>
    <w:p>
      <w:pPr>
        <w:pStyle w:val="Heading2"/>
        <w:spacing w:after="120" w:before="240"/>
      </w:pPr>
      <w:r>
        <w:t xml:space="preserve">23. CSV Column Mapping</w:t>
      </w:r>
    </w:p>
    <w:p>
      <w:pPr>
        <w:spacing w:after="140"/>
      </w:pPr>
      <w:r>
        <w:t xml:space="preserve">Banks use different schemas. FlowSight should 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0B1220" w:val="clear"/>
            <w:tcMar>
              <w:top w:type="dxa" w:w="80"/>
              <w:left w:type="dxa" w:w="100"/>
              <w:bottom w:type="dxa" w:w="80"/>
              <w:right w:type="dxa" w:w="100"/>
            </w:tcMar>
            <w:vAlign w:val="center"/>
          </w:tcPr>
          <w:p>
            <w:r>
              <w:rPr>
                <w:b/>
                <w:bCs/>
                <w:color w:val="FFFFFF"/>
                <w:sz w:val="20"/>
                <w:szCs w:val="20"/>
              </w:rPr>
              <w:t xml:space="preserve">CSV Column</w:t>
            </w:r>
          </w:p>
        </w:tc>
        <w:tc>
          <w:tcPr>
            <w:tcW w:type="dxa" w:w="4750"/>
            <w:shd w:fill="0B1220" w:val="clear"/>
            <w:tcMar>
              <w:top w:type="dxa" w:w="80"/>
              <w:left w:type="dxa" w:w="100"/>
              <w:bottom w:type="dxa" w:w="80"/>
              <w:right w:type="dxa" w:w="100"/>
            </w:tcMar>
            <w:vAlign w:val="center"/>
          </w:tcPr>
          <w:p>
            <w:r>
              <w:rPr>
                <w:b/>
                <w:bCs/>
                <w:color w:val="FFFFFF"/>
                <w:sz w:val="20"/>
                <w:szCs w:val="20"/>
              </w:rPr>
              <w:t xml:space="preserve">FlowSight Field</w:t>
            </w:r>
          </w:p>
        </w:tc>
      </w:tr>
      <w:tr>
        <w:tc>
          <w:tcPr>
            <w:tcW w:type="dxa" w:w="4750"/>
            <w:tcMar>
              <w:top w:type="dxa" w:w="80"/>
              <w:left w:type="dxa" w:w="100"/>
              <w:bottom w:type="dxa" w:w="80"/>
              <w:right w:type="dxa" w:w="100"/>
            </w:tcMar>
          </w:tcPr>
          <w:p>
            <w:r>
              <w:rPr>
                <w:sz w:val="20"/>
                <w:szCs w:val="20"/>
              </w:rPr>
              <w:t xml:space="preserve">Transaction Date</w:t>
            </w:r>
          </w:p>
        </w:tc>
        <w:tc>
          <w:tcPr>
            <w:tcW w:type="dxa" w:w="4750"/>
            <w:tcMar>
              <w:top w:type="dxa" w:w="80"/>
              <w:left w:type="dxa" w:w="100"/>
              <w:bottom w:type="dxa" w:w="80"/>
              <w:right w:type="dxa" w:w="100"/>
            </w:tcMar>
          </w:tcPr>
          <w:p>
            <w:r>
              <w:rPr>
                <w:sz w:val="20"/>
                <w:szCs w:val="20"/>
              </w:rPr>
              <w:t xml:space="preserve">Date</w:t>
            </w:r>
          </w:p>
        </w:tc>
      </w:tr>
      <w:tr>
        <w:tc>
          <w:tcPr>
            <w:tcW w:type="dxa" w:w="4750"/>
            <w:tcMar>
              <w:top w:type="dxa" w:w="80"/>
              <w:left w:type="dxa" w:w="100"/>
              <w:bottom w:type="dxa" w:w="80"/>
              <w:right w:type="dxa" w:w="100"/>
            </w:tcMar>
          </w:tcPr>
          <w:p>
            <w:r>
              <w:rPr>
                <w:sz w:val="20"/>
                <w:szCs w:val="20"/>
              </w:rPr>
              <w:t xml:space="preserve">Description</w:t>
            </w:r>
          </w:p>
        </w:tc>
        <w:tc>
          <w:tcPr>
            <w:tcW w:type="dxa" w:w="4750"/>
            <w:tcMar>
              <w:top w:type="dxa" w:w="80"/>
              <w:left w:type="dxa" w:w="100"/>
              <w:bottom w:type="dxa" w:w="80"/>
              <w:right w:type="dxa" w:w="100"/>
            </w:tcMar>
          </w:tcPr>
          <w:p>
            <w:r>
              <w:rPr>
                <w:sz w:val="20"/>
                <w:szCs w:val="20"/>
              </w:rPr>
              <w:t xml:space="preserve">Description</w:t>
            </w:r>
          </w:p>
        </w:tc>
      </w:tr>
      <w:tr>
        <w:tc>
          <w:tcPr>
            <w:tcW w:type="dxa" w:w="4750"/>
            <w:tcMar>
              <w:top w:type="dxa" w:w="80"/>
              <w:left w:type="dxa" w:w="100"/>
              <w:bottom w:type="dxa" w:w="80"/>
              <w:right w:type="dxa" w:w="100"/>
            </w:tcMar>
          </w:tcPr>
          <w:p>
            <w:r>
              <w:rPr>
                <w:sz w:val="20"/>
                <w:szCs w:val="20"/>
              </w:rPr>
              <w:t xml:space="preserve">Amount</w:t>
            </w:r>
          </w:p>
        </w:tc>
        <w:tc>
          <w:tcPr>
            <w:tcW w:type="dxa" w:w="4750"/>
            <w:tcMar>
              <w:top w:type="dxa" w:w="80"/>
              <w:left w:type="dxa" w:w="100"/>
              <w:bottom w:type="dxa" w:w="80"/>
              <w:right w:type="dxa" w:w="100"/>
            </w:tcMar>
          </w:tcPr>
          <w:p>
            <w:r>
              <w:rPr>
                <w:sz w:val="20"/>
                <w:szCs w:val="20"/>
              </w:rPr>
              <w:t xml:space="preserve">Amount</w:t>
            </w:r>
          </w:p>
        </w:tc>
      </w:tr>
      <w:tr>
        <w:tc>
          <w:tcPr>
            <w:tcW w:type="dxa" w:w="4750"/>
            <w:tcMar>
              <w:top w:type="dxa" w:w="80"/>
              <w:left w:type="dxa" w:w="100"/>
              <w:bottom w:type="dxa" w:w="80"/>
              <w:right w:type="dxa" w:w="100"/>
            </w:tcMar>
          </w:tcPr>
          <w:p>
            <w:r>
              <w:rPr>
                <w:sz w:val="20"/>
                <w:szCs w:val="20"/>
              </w:rPr>
              <w:t xml:space="preserve">Debit / Credit</w:t>
            </w:r>
          </w:p>
        </w:tc>
        <w:tc>
          <w:tcPr>
            <w:tcW w:type="dxa" w:w="4750"/>
            <w:tcMar>
              <w:top w:type="dxa" w:w="80"/>
              <w:left w:type="dxa" w:w="100"/>
              <w:bottom w:type="dxa" w:w="80"/>
              <w:right w:type="dxa" w:w="100"/>
            </w:tcMar>
          </w:tcPr>
          <w:p>
            <w:r>
              <w:rPr>
                <w:sz w:val="20"/>
                <w:szCs w:val="20"/>
              </w:rPr>
              <w:t xml:space="preserve">May need normalization into one signed amount</w:t>
            </w:r>
          </w:p>
        </w:tc>
      </w:tr>
    </w:tbl>
    <w:p>
      <w:pPr>
        <w:spacing w:after="140"/>
      </w:pPr>
      <w:r>
        <w:t xml:space="preserve">User confirms mapping before import.</w:t>
      </w:r>
    </w:p>
    <w:p>
      <w:pPr>
        <w:pStyle w:val="Heading2"/>
        <w:spacing w:after="120" w:before="240"/>
      </w:pPr>
      <w:r>
        <w:t xml:space="preserve">24. CSV Preview</w:t>
      </w:r>
    </w:p>
    <w:p>
      <w:pPr>
        <w:spacing w:after="140"/>
      </w:pPr>
      <w:r>
        <w:t xml:space="preserve">Before import, show a transaction count (e.g. “327 transactions found”) and a preview table of Date / Description / Amount. Allow: confirm, cancel, fix mapping.</w:t>
      </w:r>
    </w:p>
    <w:p>
      <w:pPr>
        <w:pStyle w:val="Heading2"/>
        <w:spacing w:after="120" w:before="240"/>
      </w:pPr>
      <w:r>
        <w:t xml:space="preserve">25. Recurring Detection from CSV</w:t>
      </w:r>
    </w:p>
    <w:p>
      <w:pPr>
        <w:spacing w:after="140"/>
      </w:pPr>
      <w:r>
        <w:t xml:space="preserve">CSV historical data may suggest recurring transactions (e.g. Netflix charged $17.99 on the 5th of three consecutive months). FlowSight suggests: “Netflix appears to recur monthly.” The user must confirm — do not silently turn detected patterns into confirmed future events.</w:t>
      </w:r>
    </w:p>
    <w:p>
      <w:pPr>
        <w:spacing w:after="140"/>
      </w:pPr>
      <w:r>
        <w:t xml:space="preserve">Example review list: Salary ($2,700, every 2 weeks) and Rent ($1,650, monthly) confirmed; Netflix ($17.99, monthly) confirmed; Electricity (~$95, monthly) still pending confirmation.</w:t>
      </w:r>
    </w:p>
    <w:p>
      <w:pPr>
        <w:pStyle w:val="Heading1"/>
        <w:spacing w:after="160" w:before="360"/>
      </w:pPr>
      <w:r>
        <w:t xml:space="preserve">26. Dashboard</w:t>
      </w:r>
    </w:p>
    <w:p>
      <w:pPr>
        <w:spacing w:after="140"/>
      </w:pPr>
      <w:r>
        <w:t xml:space="preserve">The Dashboard is the core application screen. Primary question: “Am I okay?” The existing product architecture explicitly defines the Dashboard as the core screen and requires status, financial snapshot, forecast chart, upcoming timeline, insights, alerts, and quick actions.</w:t>
      </w:r>
    </w:p>
    <w:p>
      <w:pPr>
        <w:pStyle w:val="Heading2"/>
        <w:spacing w:after="120" w:before="240"/>
      </w:pPr>
      <w:r>
        <w:t xml:space="preserve">27. Dashboard Information Hierarchy</w:t>
      </w:r>
    </w:p>
    <w:p>
      <w:pPr>
        <w:pStyle w:val="ListParagraph"/>
        <w:numPr>
          <w:ilvl w:val="0"/>
          <w:numId w:val="2"/>
        </w:numPr>
        <w:spacing w:after="60"/>
      </w:pPr>
      <w:r>
        <w:t xml:space="preserve">1. Financial Status</w:t>
      </w:r>
    </w:p>
    <w:p>
      <w:pPr>
        <w:pStyle w:val="ListParagraph"/>
        <w:numPr>
          <w:ilvl w:val="0"/>
          <w:numId w:val="2"/>
        </w:numPr>
        <w:spacing w:after="60"/>
      </w:pPr>
      <w:r>
        <w:t xml:space="preserve">2. Safe to Spend</w:t>
      </w:r>
    </w:p>
    <w:p>
      <w:pPr>
        <w:pStyle w:val="ListParagraph"/>
        <w:numPr>
          <w:ilvl w:val="0"/>
          <w:numId w:val="2"/>
        </w:numPr>
        <w:spacing w:after="60"/>
      </w:pPr>
      <w:r>
        <w:t xml:space="preserve">3. Forecast</w:t>
      </w:r>
    </w:p>
    <w:p>
      <w:pPr>
        <w:pStyle w:val="ListParagraph"/>
        <w:numPr>
          <w:ilvl w:val="0"/>
          <w:numId w:val="2"/>
        </w:numPr>
        <w:spacing w:after="60"/>
      </w:pPr>
      <w:r>
        <w:t xml:space="preserve">4. Upcoming Events</w:t>
      </w:r>
    </w:p>
    <w:p>
      <w:pPr>
        <w:pStyle w:val="ListParagraph"/>
        <w:numPr>
          <w:ilvl w:val="0"/>
          <w:numId w:val="2"/>
        </w:numPr>
        <w:spacing w:after="60"/>
      </w:pPr>
      <w:r>
        <w:t xml:space="preserve">5. Explanation</w:t>
      </w:r>
    </w:p>
    <w:p>
      <w:pPr>
        <w:pStyle w:val="ListParagraph"/>
        <w:numPr>
          <w:ilvl w:val="0"/>
          <w:numId w:val="2"/>
        </w:numPr>
        <w:spacing w:after="60"/>
      </w:pPr>
      <w:r>
        <w:t xml:space="preserve">6. Alerts</w:t>
      </w:r>
    </w:p>
    <w:p>
      <w:pPr>
        <w:pStyle w:val="ListParagraph"/>
        <w:numPr>
          <w:ilvl w:val="0"/>
          <w:numId w:val="2"/>
        </w:numPr>
        <w:spacing w:after="60"/>
      </w:pPr>
      <w:r>
        <w:t xml:space="preserve">7. Quick Actions</w:t>
      </w:r>
    </w:p>
    <w:p>
      <w:pPr>
        <w:spacing w:after="140"/>
      </w:pPr>
      <w:r>
        <w:t xml:space="preserve">Avoid presenting every metric with equal visual weight.</w:t>
      </w:r>
    </w:p>
    <w:p>
      <w:pPr>
        <w:pStyle w:val="Heading2"/>
        <w:spacing w:after="120" w:before="240"/>
      </w:pPr>
      <w:r>
        <w:t xml:space="preserve">28. Hero Status</w:t>
      </w:r>
    </w:p>
    <w:p>
      <w:pPr>
        <w:pStyle w:val="ListParagraph"/>
        <w:numPr>
          <w:ilvl w:val="0"/>
          <w:numId w:val="2"/>
        </w:numPr>
        <w:spacing w:after="60"/>
      </w:pPr>
      <w:r>
        <w:t xml:space="preserve">Safe — “You're safe through August 18.”</w:t>
      </w:r>
    </w:p>
    <w:p>
      <w:pPr>
        <w:pStyle w:val="ListParagraph"/>
        <w:numPr>
          <w:ilvl w:val="0"/>
          <w:numId w:val="2"/>
        </w:numPr>
        <w:spacing w:after="60"/>
      </w:pPr>
      <w:r>
        <w:t xml:space="preserve">Watch — “Watch your balance August 1–7.”</w:t>
      </w:r>
    </w:p>
    <w:p>
      <w:pPr>
        <w:pStyle w:val="ListParagraph"/>
        <w:numPr>
          <w:ilvl w:val="0"/>
          <w:numId w:val="2"/>
        </w:numPr>
        <w:spacing w:after="60"/>
      </w:pPr>
      <w:r>
        <w:t xml:space="preserve">Risk — “Your balance may fall below your safety buffer on August 3.”</w:t>
      </w:r>
    </w:p>
    <w:p>
      <w:pPr>
        <w:spacing w:after="140"/>
      </w:pPr>
      <w:r>
        <w:t xml:space="preserve">Status must derive from forecast results.</w:t>
      </w:r>
    </w:p>
    <w:p>
      <w:pPr>
        <w:pStyle w:val="Heading2"/>
        <w:spacing w:after="120" w:before="240"/>
      </w:pPr>
      <w:r>
        <w:t xml:space="preserve">29. Financial Snapshot</w:t>
      </w:r>
    </w:p>
    <w:p>
      <w:pPr>
        <w:pStyle w:val="ListParagraph"/>
        <w:numPr>
          <w:ilvl w:val="0"/>
          <w:numId w:val="2"/>
        </w:numPr>
        <w:spacing w:after="60"/>
      </w:pPr>
      <w:r>
        <w:t xml:space="preserve">Current Balance — actual starting balance</w:t>
      </w:r>
    </w:p>
    <w:p>
      <w:pPr>
        <w:pStyle w:val="ListParagraph"/>
        <w:numPr>
          <w:ilvl w:val="0"/>
          <w:numId w:val="2"/>
        </w:numPr>
        <w:spacing w:after="60"/>
      </w:pPr>
      <w:r>
        <w:t xml:space="preserve">Safe to Spend — amount currently considered safe to spend</w:t>
      </w:r>
    </w:p>
    <w:p>
      <w:pPr>
        <w:pStyle w:val="ListParagraph"/>
        <w:numPr>
          <w:ilvl w:val="0"/>
          <w:numId w:val="2"/>
        </w:numPr>
        <w:spacing w:after="60"/>
      </w:pPr>
      <w:r>
        <w:t xml:space="preserve">Lowest Projected Balance — lowest balance during forecast horizon</w:t>
      </w:r>
    </w:p>
    <w:p>
      <w:pPr>
        <w:pStyle w:val="ListParagraph"/>
        <w:numPr>
          <w:ilvl w:val="0"/>
          <w:numId w:val="2"/>
        </w:numPr>
        <w:spacing w:after="60"/>
      </w:pPr>
      <w:r>
        <w:t xml:space="preserve">Days Until Next Income — e.g. 6 days</w:t>
      </w:r>
    </w:p>
    <w:p>
      <w:pPr>
        <w:pStyle w:val="Heading2"/>
        <w:spacing w:after="120" w:before="240"/>
      </w:pPr>
      <w:r>
        <w:t xml:space="preserve">30. Safe to Spend</w:t>
      </w:r>
    </w:p>
    <w:p>
      <w:pPr>
        <w:spacing w:after="140"/>
      </w:pPr>
      <w:r>
        <w:t xml:space="preserve">Initial MVP calculation: Lowest Projected Balance − Safety Buffer = Safe to Spend. Never display a negative Safe to Spend; minimum is $0.</w:t>
      </w:r>
    </w:p>
    <w:p>
      <w:pPr>
        <w:spacing w:after="140"/>
      </w:pPr>
      <w:r>
        <w:t xml:space="preserve">Example: Lowest projected balance $1,120; Safety buffer $300; Safe to Spend $820.</w:t>
      </w:r>
    </w:p>
    <w:p>
      <w:pPr>
        <w:spacing w:after="140"/>
      </w:pPr>
      <w:r>
        <w:t xml:space="preserve">The user must be able to ask “Why?” and receive an explanation such as: “After your upcoming income and known bills, your lowest projected balance is $1,120. Keeping your $300 safety buffer leaves $820 currently safe to spend.”</w:t>
      </w:r>
    </w:p>
    <w:p>
      <w:pPr>
        <w:pStyle w:val="Heading2"/>
        <w:spacing w:after="120" w:before="240"/>
      </w:pPr>
      <w:r>
        <w:t xml:space="preserve">30.1 Consequence-Denominated Display</w:t>
      </w:r>
    </w:p>
    <w:p>
      <w:pPr>
        <w:spacing w:after="140"/>
      </w:pPr>
      <w:r>
        <w:t xml:space="preserve">In addition to the dollar figure, Safe to Spend should optionally translate the amount into a relatable reference so the number carries meaning at a glance, not just precision. This uses only data already computed for the forecast — no new modeling, prediction, or category-spending inference is required.</w:t>
      </w:r>
    </w:p>
    <w:p>
      <w:pPr>
        <w:spacing w:after="140"/>
      </w:pPr>
      <w:r>
        <w:t xml:space="preserve">Example: “Safe to Spend: $820 — about 2 weeks of groceries, or 3 dinners out.”</w:t>
      </w:r>
    </w:p>
    <w:p>
      <w:pPr>
        <w:spacing w:after="140"/>
      </w:pPr>
      <w:r>
        <w:t xml:space="preserve">MVP approach: a small set of static, user-editable reference categories (e.g. groceries, dining out, a tank of gas) with a default per-category dollar estimate the user can adjust in Settings. Do not infer these estimates from transaction history in MVP — that crosses into spending-pattern analysis, which is out of scope (§40, §66). This is a display layer only and must not affect the underlying Safe to Spend calculation.</w:t>
      </w:r>
    </w:p>
    <w:p>
      <w:pPr>
        <w:pStyle w:val="Heading2"/>
        <w:spacing w:after="120" w:before="240"/>
      </w:pPr>
      <w:r>
        <w:t xml:space="preserve">31. Forecast Chart</w:t>
      </w:r>
    </w:p>
    <w:p>
      <w:pPr>
        <w:spacing w:after="140"/>
      </w:pPr>
      <w:r>
        <w:t xml:space="preserve">Default horizon: 30 days. Chart should show today, projected daily balance, income, bills, lowest balance, and safety buffer. Important events should be interactive — clicking/tapping a low point should show a breakdown (e.g. August 3, projected balance $420, driven by Rent –$1,650, Insurance –$180, Internet –$70, with the next paycheck of +$2,700 on August 8).</w:t>
      </w:r>
    </w:p>
    <w:p>
      <w:pPr>
        <w:pStyle w:val="Heading2"/>
        <w:spacing w:after="120" w:before="240"/>
      </w:pPr>
      <w:r>
        <w:t xml:space="preserve">32. Upcoming Timeline</w:t>
      </w:r>
    </w:p>
    <w:p>
      <w:pPr>
        <w:spacing w:after="140"/>
      </w:pPr>
      <w:r>
        <w:t xml:space="preserve">Chronological events (e.g. Jul 31 Salary +$2,700; Aug 1 Rent –$1,650; Aug 3 Insurance –$180), visually distinguished as income, expense, or estimated event.</w:t>
      </w:r>
    </w:p>
    <w:p>
      <w:pPr>
        <w:pStyle w:val="Heading2"/>
        <w:spacing w:after="120" w:before="240"/>
      </w:pPr>
      <w:r>
        <w:t xml:space="preserve">33. Contextual Explanations</w:t>
      </w:r>
    </w:p>
    <w:p>
      <w:pPr>
        <w:spacing w:after="140"/>
      </w:pPr>
      <w:r>
        <w:t xml:space="preserve">Avoid generic AI copy such as “Your spending pattern may require attention.” Prefer specific, causal language such as: “Rent and insurance reduce your projected balance to $420 on August 3, five days before your next paycheck.” Every explanation should connect Cause → Timing → Impact.</w:t>
      </w:r>
    </w:p>
    <w:p>
      <w:pPr>
        <w:pStyle w:val="Heading2"/>
        <w:spacing w:after="120" w:before="240"/>
      </w:pPr>
      <w:r>
        <w:t xml:space="preserve">34. Quick Actions</w:t>
      </w:r>
    </w:p>
    <w:p>
      <w:pPr>
        <w:spacing w:after="140"/>
      </w:pPr>
      <w:r>
        <w:t xml:space="preserve">Dashboard actions: Run Scenario, Add Transaction, Import CSV. Potential later: Update Balance.</w:t>
      </w:r>
    </w:p>
    <w:p>
      <w:pPr>
        <w:pStyle w:val="Heading1"/>
        <w:spacing w:after="160" w:before="360"/>
      </w:pPr>
      <w:r>
        <w:t xml:space="preserve">35. Forecast Page</w:t>
      </w:r>
    </w:p>
    <w:p>
      <w:pPr>
        <w:spacing w:after="140"/>
      </w:pPr>
      <w:r>
        <w:t xml:space="preserve">Purpose: “Explore exactly what happens to my balance and why.” Components: detailed chart, daily balance timeline/table, safety threshold, lowest point, events, explanation drill-down.</w:t>
      </w:r>
    </w:p>
    <w:p>
      <w:pPr>
        <w:pStyle w:val="Heading2"/>
        <w:spacing w:after="120" w:before="240"/>
      </w:pPr>
      <w:r>
        <w:t xml:space="preserve">36. Daily Forecast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000"/>
      </w:tblGrid>
      <w:tr>
        <w:trPr>
          <w:tblHeader/>
        </w:trPr>
        <w:tc>
          <w:tcPr>
            <w:tcW w:type="dxa" w:w="2200"/>
            <w:shd w:fill="0B1220" w:val="clear"/>
            <w:tcMar>
              <w:top w:type="dxa" w:w="80"/>
              <w:left w:type="dxa" w:w="100"/>
              <w:bottom w:type="dxa" w:w="80"/>
              <w:right w:type="dxa" w:w="100"/>
            </w:tcMar>
            <w:vAlign w:val="center"/>
          </w:tcPr>
          <w:p>
            <w:r>
              <w:rPr>
                <w:b/>
                <w:bCs/>
                <w:color w:val="FFFFFF"/>
                <w:sz w:val="20"/>
                <w:szCs w:val="20"/>
              </w:rPr>
              <w:t xml:space="preserve">Date</w:t>
            </w:r>
          </w:p>
        </w:tc>
        <w:tc>
          <w:tcPr>
            <w:tcW w:type="dxa" w:w="4300"/>
            <w:shd w:fill="0B1220" w:val="clear"/>
            <w:tcMar>
              <w:top w:type="dxa" w:w="80"/>
              <w:left w:type="dxa" w:w="100"/>
              <w:bottom w:type="dxa" w:w="80"/>
              <w:right w:type="dxa" w:w="100"/>
            </w:tcMar>
            <w:vAlign w:val="center"/>
          </w:tcPr>
          <w:p>
            <w:r>
              <w:rPr>
                <w:b/>
                <w:bCs/>
                <w:color w:val="FFFFFF"/>
                <w:sz w:val="20"/>
                <w:szCs w:val="20"/>
              </w:rPr>
              <w:t xml:space="preserve">Events</w:t>
            </w:r>
          </w:p>
        </w:tc>
        <w:tc>
          <w:tcPr>
            <w:tcW w:type="dxa" w:w="3000"/>
            <w:shd w:fill="0B1220" w:val="clear"/>
            <w:tcMar>
              <w:top w:type="dxa" w:w="80"/>
              <w:left w:type="dxa" w:w="100"/>
              <w:bottom w:type="dxa" w:w="80"/>
              <w:right w:type="dxa" w:w="100"/>
            </w:tcMar>
            <w:vAlign w:val="center"/>
          </w:tcPr>
          <w:p>
            <w:r>
              <w:rPr>
                <w:b/>
                <w:bCs/>
                <w:color w:val="FFFFFF"/>
                <w:sz w:val="20"/>
                <w:szCs w:val="20"/>
              </w:rPr>
              <w:t xml:space="preserve">Ending Balance</w:t>
            </w:r>
          </w:p>
        </w:tc>
      </w:tr>
      <w:tr>
        <w:tc>
          <w:tcPr>
            <w:tcW w:type="dxa" w:w="2200"/>
            <w:tcMar>
              <w:top w:type="dxa" w:w="80"/>
              <w:left w:type="dxa" w:w="100"/>
              <w:bottom w:type="dxa" w:w="80"/>
              <w:right w:type="dxa" w:w="100"/>
            </w:tcMar>
          </w:tcPr>
          <w:p>
            <w:r>
              <w:rPr>
                <w:sz w:val="20"/>
                <w:szCs w:val="20"/>
              </w:rPr>
              <w:t xml:space="preserve">Jul 30</w:t>
            </w:r>
          </w:p>
        </w:tc>
        <w:tc>
          <w:tcPr>
            <w:tcW w:type="dxa" w:w="4300"/>
            <w:tcMar>
              <w:top w:type="dxa" w:w="80"/>
              <w:left w:type="dxa" w:w="100"/>
              <w:bottom w:type="dxa" w:w="80"/>
              <w:right w:type="dxa" w:w="100"/>
            </w:tcMar>
          </w:tcPr>
          <w:p>
            <w:r>
              <w:rPr>
                <w:sz w:val="20"/>
                <w:szCs w:val="20"/>
              </w:rPr>
              <w:t xml:space="preserve">—</w:t>
            </w:r>
          </w:p>
        </w:tc>
        <w:tc>
          <w:tcPr>
            <w:tcW w:type="dxa" w:w="3000"/>
            <w:tcMar>
              <w:top w:type="dxa" w:w="80"/>
              <w:left w:type="dxa" w:w="100"/>
              <w:bottom w:type="dxa" w:w="80"/>
              <w:right w:type="dxa" w:w="100"/>
            </w:tcMar>
          </w:tcPr>
          <w:p>
            <w:r>
              <w:rPr>
                <w:sz w:val="20"/>
                <w:szCs w:val="20"/>
              </w:rPr>
              <w:t xml:space="preserve">$3,840</w:t>
            </w:r>
          </w:p>
        </w:tc>
      </w:tr>
      <w:tr>
        <w:tc>
          <w:tcPr>
            <w:tcW w:type="dxa" w:w="2200"/>
            <w:tcMar>
              <w:top w:type="dxa" w:w="80"/>
              <w:left w:type="dxa" w:w="100"/>
              <w:bottom w:type="dxa" w:w="80"/>
              <w:right w:type="dxa" w:w="100"/>
            </w:tcMar>
          </w:tcPr>
          <w:p>
            <w:r>
              <w:rPr>
                <w:sz w:val="20"/>
                <w:szCs w:val="20"/>
              </w:rPr>
              <w:t xml:space="preserve">Jul 31</w:t>
            </w:r>
          </w:p>
        </w:tc>
        <w:tc>
          <w:tcPr>
            <w:tcW w:type="dxa" w:w="4300"/>
            <w:tcMar>
              <w:top w:type="dxa" w:w="80"/>
              <w:left w:type="dxa" w:w="100"/>
              <w:bottom w:type="dxa" w:w="80"/>
              <w:right w:type="dxa" w:w="100"/>
            </w:tcMar>
          </w:tcPr>
          <w:p>
            <w:r>
              <w:rPr>
                <w:sz w:val="20"/>
                <w:szCs w:val="20"/>
              </w:rPr>
              <w:t xml:space="preserve">Salary +$2,700</w:t>
            </w:r>
          </w:p>
        </w:tc>
        <w:tc>
          <w:tcPr>
            <w:tcW w:type="dxa" w:w="3000"/>
            <w:tcMar>
              <w:top w:type="dxa" w:w="80"/>
              <w:left w:type="dxa" w:w="100"/>
              <w:bottom w:type="dxa" w:w="80"/>
              <w:right w:type="dxa" w:w="100"/>
            </w:tcMar>
          </w:tcPr>
          <w:p>
            <w:r>
              <w:rPr>
                <w:sz w:val="20"/>
                <w:szCs w:val="20"/>
              </w:rPr>
              <w:t xml:space="preserve">$6,540</w:t>
            </w:r>
          </w:p>
        </w:tc>
      </w:tr>
      <w:tr>
        <w:tc>
          <w:tcPr>
            <w:tcW w:type="dxa" w:w="2200"/>
            <w:tcMar>
              <w:top w:type="dxa" w:w="80"/>
              <w:left w:type="dxa" w:w="100"/>
              <w:bottom w:type="dxa" w:w="80"/>
              <w:right w:type="dxa" w:w="100"/>
            </w:tcMar>
          </w:tcPr>
          <w:p>
            <w:r>
              <w:rPr>
                <w:sz w:val="20"/>
                <w:szCs w:val="20"/>
              </w:rPr>
              <w:t xml:space="preserve">Aug 1</w:t>
            </w:r>
          </w:p>
        </w:tc>
        <w:tc>
          <w:tcPr>
            <w:tcW w:type="dxa" w:w="4300"/>
            <w:tcMar>
              <w:top w:type="dxa" w:w="80"/>
              <w:left w:type="dxa" w:w="100"/>
              <w:bottom w:type="dxa" w:w="80"/>
              <w:right w:type="dxa" w:w="100"/>
            </w:tcMar>
          </w:tcPr>
          <w:p>
            <w:r>
              <w:rPr>
                <w:sz w:val="20"/>
                <w:szCs w:val="20"/>
              </w:rPr>
              <w:t xml:space="preserve">Rent –$1,650</w:t>
            </w:r>
          </w:p>
        </w:tc>
        <w:tc>
          <w:tcPr>
            <w:tcW w:type="dxa" w:w="3000"/>
            <w:tcMar>
              <w:top w:type="dxa" w:w="80"/>
              <w:left w:type="dxa" w:w="100"/>
              <w:bottom w:type="dxa" w:w="80"/>
              <w:right w:type="dxa" w:w="100"/>
            </w:tcMar>
          </w:tcPr>
          <w:p>
            <w:r>
              <w:rPr>
                <w:sz w:val="20"/>
                <w:szCs w:val="20"/>
              </w:rPr>
              <w:t xml:space="preserve">$4,890</w:t>
            </w:r>
          </w:p>
        </w:tc>
      </w:tr>
      <w:tr>
        <w:tc>
          <w:tcPr>
            <w:tcW w:type="dxa" w:w="2200"/>
            <w:tcMar>
              <w:top w:type="dxa" w:w="80"/>
              <w:left w:type="dxa" w:w="100"/>
              <w:bottom w:type="dxa" w:w="80"/>
              <w:right w:type="dxa" w:w="100"/>
            </w:tcMar>
          </w:tcPr>
          <w:p>
            <w:r>
              <w:rPr>
                <w:sz w:val="20"/>
                <w:szCs w:val="20"/>
              </w:rPr>
              <w:t xml:space="preserve">Aug 3</w:t>
            </w:r>
          </w:p>
        </w:tc>
        <w:tc>
          <w:tcPr>
            <w:tcW w:type="dxa" w:w="4300"/>
            <w:tcMar>
              <w:top w:type="dxa" w:w="80"/>
              <w:left w:type="dxa" w:w="100"/>
              <w:bottom w:type="dxa" w:w="80"/>
              <w:right w:type="dxa" w:w="100"/>
            </w:tcMar>
          </w:tcPr>
          <w:p>
            <w:r>
              <w:rPr>
                <w:sz w:val="20"/>
                <w:szCs w:val="20"/>
              </w:rPr>
              <w:t xml:space="preserve">Insurance –$180</w:t>
            </w:r>
          </w:p>
        </w:tc>
        <w:tc>
          <w:tcPr>
            <w:tcW w:type="dxa" w:w="3000"/>
            <w:tcMar>
              <w:top w:type="dxa" w:w="80"/>
              <w:left w:type="dxa" w:w="100"/>
              <w:bottom w:type="dxa" w:w="80"/>
              <w:right w:type="dxa" w:w="100"/>
            </w:tcMar>
          </w:tcPr>
          <w:p>
            <w:r>
              <w:rPr>
                <w:sz w:val="20"/>
                <w:szCs w:val="20"/>
              </w:rPr>
              <w:t xml:space="preserve">$4,710</w:t>
            </w:r>
          </w:p>
        </w:tc>
      </w:tr>
    </w:tbl>
    <w:p>
      <w:pPr>
        <w:spacing w:after="140"/>
      </w:pPr>
      <w:r>
        <w:t xml:space="preserve">Users should be able to understand how each balance was derived.</w:t>
      </w:r>
    </w:p>
    <w:p>
      <w:pPr>
        <w:pStyle w:val="Heading2"/>
        <w:spacing w:after="120" w:before="240"/>
      </w:pPr>
      <w:r>
        <w:t xml:space="preserve">37. Forecast Methodology Transparency</w:t>
      </w:r>
    </w:p>
    <w:p>
      <w:pPr>
        <w:spacing w:after="140"/>
      </w:pPr>
      <w:r>
        <w:t xml:space="preserve">Provide “How this forecast works,” explaining: Starting balance + Expected income – Expected expenses = Projected daily balance. Clearly distinguish confirmed, recurring, estimated, and hypothetical scenario events. This supports the PRD requirement that methodology and assumptions remain visible to users.</w:t>
      </w:r>
    </w:p>
    <w:p>
      <w:pPr>
        <w:pStyle w:val="Heading1"/>
        <w:spacing w:after="160" w:before="360"/>
      </w:pPr>
      <w:r>
        <w:t xml:space="preserve">38. Transactions</w:t>
      </w:r>
    </w:p>
    <w:p>
      <w:pPr>
        <w:spacing w:after="140"/>
      </w:pPr>
      <w:r>
        <w:t xml:space="preserve">Purpose: maintain financial data that affects forecasting. Not intended to become a budgeting workspace.</w:t>
      </w:r>
    </w:p>
    <w:p>
      <w:pPr>
        <w:spacing w:after="140"/>
      </w:pPr>
      <w:r>
        <w:t xml:space="preserve">Functions: list, search, filter, add, edit, delete, import CSV, export.</w:t>
      </w:r>
    </w:p>
    <w:p>
      <w:pPr>
        <w:pStyle w:val="Heading2"/>
        <w:spacing w:after="120" w:before="240"/>
      </w:pPr>
      <w:r>
        <w:t xml:space="preserve">39. Manual Transaction</w:t>
      </w:r>
    </w:p>
    <w:p>
      <w:pPr>
        <w:spacing w:after="140"/>
      </w:pPr>
      <w:r>
        <w:t xml:space="preserve">Fields: description, amount, type, date, account, optional category. Transaction types: Income, Expense. Future-dated transactions may enter the forecast; past transactions primarily provide history.</w:t>
      </w:r>
    </w:p>
    <w:p>
      <w:pPr>
        <w:pStyle w:val="Heading2"/>
        <w:spacing w:after="120" w:before="240"/>
      </w:pPr>
      <w:r>
        <w:t xml:space="preserve">40. Transaction Categories</w:t>
      </w:r>
    </w:p>
    <w:p>
      <w:pPr>
        <w:spacing w:after="140"/>
      </w:pPr>
      <w:r>
        <w:t xml:space="preserve">Categories are secondary. They may help explain forecasts, understand recurring patterns, and later estimate spending. Do not build envelope budgeting, category spending limits, rollover budgets, or complex category allocation.</w:t>
      </w:r>
    </w:p>
    <w:p>
      <w:pPr>
        <w:pStyle w:val="Heading1"/>
        <w:spacing w:after="160" w:before="360"/>
      </w:pPr>
      <w:r>
        <w:t xml:space="preserve">41. Accounts</w:t>
      </w:r>
    </w:p>
    <w:p>
      <w:pPr>
        <w:spacing w:after="140"/>
      </w:pPr>
      <w:r>
        <w:t xml:space="preserve">Purpose: represent where money currently exists. MVP supports Manual Account with fields: name, type, balance, currency. Example: Chase Checking, Checking, $3,840.</w:t>
      </w:r>
    </w:p>
    <w:p>
      <w:pPr>
        <w:pStyle w:val="Heading2"/>
        <w:spacing w:after="120" w:before="240"/>
      </w:pPr>
      <w:r>
        <w:t xml:space="preserve">42. Add Account</w:t>
      </w:r>
    </w:p>
    <w:p>
      <w:pPr>
        <w:spacing w:after="140"/>
      </w:pPr>
      <w:r>
        <w:t xml:space="preserve">Flow: “Add Account → How would you like to add it?” Options: Enter manually; Import CSV; Connect Bank — Coming later. Manual fields: Account Name, Type, Current Balance, Currency.</w:t>
      </w:r>
    </w:p>
    <w:p>
      <w:pPr>
        <w:pStyle w:val="Heading2"/>
        <w:spacing w:after="120" w:before="240"/>
      </w:pPr>
      <w:r>
        <w:t xml:space="preserve">43. Multiple Accounts</w:t>
      </w:r>
    </w:p>
    <w:p>
      <w:pPr>
        <w:spacing w:after="140"/>
      </w:pPr>
      <w:r>
        <w:t xml:space="preserve">Potentially supported if technically straightforward. Forecast may aggregate included cash accounts (e.g. Checking $3,000 + Savings $2,000 = Available Cash $5,000). However, users may not want savings treated as spendable, so accounts should eventually support an “Include in cash-flow forecast? Yes / No” toggle. For MVP, a single primary checking account is sufficient if multiple-account semantics increase complexity.</w:t>
      </w:r>
    </w:p>
    <w:p>
      <w:pPr>
        <w:pStyle w:val="Heading1"/>
        <w:spacing w:after="160" w:before="360"/>
      </w:pPr>
      <w:r>
        <w:t xml:space="preserve">44. Scenario Planner</w:t>
      </w:r>
    </w:p>
    <w:p>
      <w:pPr>
        <w:spacing w:after="140"/>
      </w:pPr>
      <w:r>
        <w:t xml:space="preserve">Core question: “What happens if I do this?” Scenario Planner is a key differentiator in the existing architecture. Scenarios never modify real financial data unless explicitly saved/applied.</w:t>
      </w:r>
    </w:p>
    <w:p>
      <w:pPr>
        <w:pStyle w:val="Heading2"/>
        <w:spacing w:after="120" w:before="240"/>
      </w:pPr>
      <w:r>
        <w:t xml:space="preserve">45. Scenario Type 1 — One-Time Purchase</w:t>
      </w:r>
    </w:p>
    <w:p>
      <w:pPr>
        <w:spacing w:after="140"/>
      </w:pPr>
      <w:r>
        <w:t xml:space="preserve">Example: Laptop, $1,200, Today. FlowSight calculates the baseline forecast vs. the forecast with a –$1,200 event. Example result: lowest balance before $1,420, lowest balance after purchase $220, against a $300 safety buffer → status “Not currently safe.” Explanation: “Buying the laptop today would reduce your projected low to $220, which is $80 below your safety buffer.”</w:t>
      </w:r>
    </w:p>
    <w:p>
      <w:pPr>
        <w:pStyle w:val="Heading2"/>
        <w:spacing w:after="120" w:before="240"/>
      </w:pPr>
      <w:r>
        <w:t xml:space="preserve">46. Scenario Type 2 — Move Existing Event</w:t>
      </w:r>
    </w:p>
    <w:p>
      <w:pPr>
        <w:spacing w:after="140"/>
      </w:pPr>
      <w:r>
        <w:t xml:space="preserve">Example: “What if rent is paid August 5 instead of August 1?” Flow: select event → choose new date → rerun forecast → compare. Original data remains unchanged.</w:t>
      </w:r>
    </w:p>
    <w:p>
      <w:pPr>
        <w:pStyle w:val="Heading2"/>
        <w:spacing w:after="120" w:before="240"/>
      </w:pPr>
      <w:r>
        <w:t xml:space="preserve">47. Scenario Type 3 — One-Time Income</w:t>
      </w:r>
    </w:p>
    <w:p>
      <w:pPr>
        <w:spacing w:after="140"/>
      </w:pPr>
      <w:r>
        <w:t xml:space="preserve">Example: Freelance payment, +$600, August 4. Display impact on lowest balance before/after, safety status, and chart comparison.</w:t>
      </w:r>
    </w:p>
    <w:p>
      <w:pPr>
        <w:pStyle w:val="Heading2"/>
        <w:spacing w:after="120" w:before="240"/>
      </w:pPr>
      <w:r>
        <w:t xml:space="preserve">48. Scenario Results</w:t>
      </w:r>
    </w:p>
    <w:p>
      <w:pPr>
        <w:spacing w:after="140"/>
      </w:pPr>
      <w:r>
        <w:t xml:space="preserve">Required elements: baseline, scenario, difference, lowest balance impact, safety buffer impact, risk status, explanation.</w:t>
      </w:r>
    </w:p>
    <w:p>
      <w:pPr>
        <w:spacing w:after="140"/>
      </w:pPr>
      <w:r>
        <w:t xml:space="preserve">Example: waiting until Aug 9 improves the lowest projected balance from $220 (today) to $1,340 (Aug 9). Recommendation: “Waiting preserves your safety buffer.” Recommendations must be framed as cash-flow analysis, not regulated personalized financial advice.</w:t>
      </w:r>
    </w:p>
    <w:p>
      <w:pPr>
        <w:pStyle w:val="Heading1"/>
        <w:spacing w:after="160" w:before="360"/>
      </w:pPr>
      <w:r>
        <w:t xml:space="preserve">49. Alerts</w:t>
      </w:r>
    </w:p>
    <w:p>
      <w:pPr>
        <w:spacing w:after="140"/>
      </w:pPr>
      <w:r>
        <w:t xml:space="preserve">Philosophy: “Tell me only when something actually matters.” Alerts should derive from forecast conditions.</w:t>
      </w:r>
    </w:p>
    <w:p>
      <w:pPr>
        <w:pStyle w:val="Heading2"/>
        <w:spacing w:after="120" w:before="240"/>
      </w:pPr>
      <w:r>
        <w:t xml:space="preserve">50. MVP Alert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0B1220" w:val="clear"/>
            <w:tcMar>
              <w:top w:type="dxa" w:w="80"/>
              <w:left w:type="dxa" w:w="100"/>
              <w:bottom w:type="dxa" w:w="80"/>
              <w:right w:type="dxa" w:w="100"/>
            </w:tcMar>
            <w:vAlign w:val="center"/>
          </w:tcPr>
          <w:p>
            <w:r>
              <w:rPr>
                <w:b/>
                <w:bCs/>
                <w:color w:val="FFFFFF"/>
                <w:sz w:val="20"/>
                <w:szCs w:val="20"/>
              </w:rPr>
              <w:t xml:space="preserve">Type</w:t>
            </w:r>
          </w:p>
        </w:tc>
        <w:tc>
          <w:tcPr>
            <w:tcW w:type="dxa" w:w="6500"/>
            <w:shd w:fill="0B1220" w:val="clear"/>
            <w:tcMar>
              <w:top w:type="dxa" w:w="80"/>
              <w:left w:type="dxa" w:w="100"/>
              <w:bottom w:type="dxa" w:w="80"/>
              <w:right w:type="dxa" w:w="100"/>
            </w:tcMar>
            <w:vAlign w:val="center"/>
          </w:tcPr>
          <w:p>
            <w:r>
              <w:rPr>
                <w:b/>
                <w:bCs/>
                <w:color w:val="FFFFFF"/>
                <w:sz w:val="20"/>
                <w:szCs w:val="20"/>
              </w:rPr>
              <w:t xml:space="preserve">Example</w:t>
            </w:r>
          </w:p>
        </w:tc>
      </w:tr>
      <w:tr>
        <w:tc>
          <w:tcPr>
            <w:tcW w:type="dxa" w:w="3000"/>
            <w:tcMar>
              <w:top w:type="dxa" w:w="80"/>
              <w:left w:type="dxa" w:w="100"/>
              <w:bottom w:type="dxa" w:w="80"/>
              <w:right w:type="dxa" w:w="100"/>
            </w:tcMar>
          </w:tcPr>
          <w:p>
            <w:r>
              <w:rPr>
                <w:sz w:val="20"/>
                <w:szCs w:val="20"/>
              </w:rPr>
              <w:t xml:space="preserve">Safety Buffer Breach</w:t>
            </w:r>
          </w:p>
        </w:tc>
        <w:tc>
          <w:tcPr>
            <w:tcW w:type="dxa" w:w="6500"/>
            <w:tcMar>
              <w:top w:type="dxa" w:w="80"/>
              <w:left w:type="dxa" w:w="100"/>
              <w:bottom w:type="dxa" w:w="80"/>
              <w:right w:type="dxa" w:w="100"/>
            </w:tcMar>
          </w:tcPr>
          <w:p>
            <w:r>
              <w:rPr>
                <w:sz w:val="20"/>
                <w:szCs w:val="20"/>
              </w:rPr>
              <w:t xml:space="preserve">Your projected balance falls below your $300 buffer on August 3.</w:t>
            </w:r>
          </w:p>
        </w:tc>
      </w:tr>
      <w:tr>
        <w:tc>
          <w:tcPr>
            <w:tcW w:type="dxa" w:w="3000"/>
            <w:tcMar>
              <w:top w:type="dxa" w:w="80"/>
              <w:left w:type="dxa" w:w="100"/>
              <w:bottom w:type="dxa" w:w="80"/>
              <w:right w:type="dxa" w:w="100"/>
            </w:tcMar>
          </w:tcPr>
          <w:p>
            <w:r>
              <w:rPr>
                <w:sz w:val="20"/>
                <w:szCs w:val="20"/>
              </w:rPr>
              <w:t xml:space="preserve">Negative Balance</w:t>
            </w:r>
          </w:p>
        </w:tc>
        <w:tc>
          <w:tcPr>
            <w:tcW w:type="dxa" w:w="6500"/>
            <w:tcMar>
              <w:top w:type="dxa" w:w="80"/>
              <w:left w:type="dxa" w:w="100"/>
              <w:bottom w:type="dxa" w:w="80"/>
              <w:right w:type="dxa" w:w="100"/>
            </w:tcMar>
          </w:tcPr>
          <w:p>
            <w:r>
              <w:rPr>
                <w:sz w:val="20"/>
                <w:szCs w:val="20"/>
              </w:rPr>
              <w:t xml:space="preserve">Your balance is projected to reach –$120 on August 5.</w:t>
            </w:r>
          </w:p>
        </w:tc>
      </w:tr>
      <w:tr>
        <w:tc>
          <w:tcPr>
            <w:tcW w:type="dxa" w:w="3000"/>
            <w:tcMar>
              <w:top w:type="dxa" w:w="80"/>
              <w:left w:type="dxa" w:w="100"/>
              <w:bottom w:type="dxa" w:w="80"/>
              <w:right w:type="dxa" w:w="100"/>
            </w:tcMar>
          </w:tcPr>
          <w:p>
            <w:r>
              <w:rPr>
                <w:sz w:val="20"/>
                <w:szCs w:val="20"/>
              </w:rPr>
              <w:t xml:space="preserve">Large Upcoming Bill</w:t>
            </w:r>
          </w:p>
        </w:tc>
        <w:tc>
          <w:tcPr>
            <w:tcW w:type="dxa" w:w="6500"/>
            <w:tcMar>
              <w:top w:type="dxa" w:w="80"/>
              <w:left w:type="dxa" w:w="100"/>
              <w:bottom w:type="dxa" w:w="80"/>
              <w:right w:type="dxa" w:w="100"/>
            </w:tcMar>
          </w:tcPr>
          <w:p>
            <w:r>
              <w:rPr>
                <w:sz w:val="20"/>
                <w:szCs w:val="20"/>
              </w:rPr>
              <w:t xml:space="preserve">Rent of $1,650 is due in 3 days. (Only if contextually meaningful.)</w:t>
            </w:r>
          </w:p>
        </w:tc>
      </w:tr>
      <w:tr>
        <w:tc>
          <w:tcPr>
            <w:tcW w:type="dxa" w:w="3000"/>
            <w:tcMar>
              <w:top w:type="dxa" w:w="80"/>
              <w:left w:type="dxa" w:w="100"/>
              <w:bottom w:type="dxa" w:w="80"/>
              <w:right w:type="dxa" w:w="100"/>
            </w:tcMar>
          </w:tcPr>
          <w:p>
            <w:r>
              <w:rPr>
                <w:sz w:val="20"/>
                <w:szCs w:val="20"/>
              </w:rPr>
              <w:t xml:space="preserve">Cash Timing Risk</w:t>
            </w:r>
          </w:p>
        </w:tc>
        <w:tc>
          <w:tcPr>
            <w:tcW w:type="dxa" w:w="6500"/>
            <w:tcMar>
              <w:top w:type="dxa" w:w="80"/>
              <w:left w:type="dxa" w:w="100"/>
              <w:bottom w:type="dxa" w:w="80"/>
              <w:right w:type="dxa" w:w="100"/>
            </w:tcMar>
          </w:tcPr>
          <w:p>
            <w:r>
              <w:rPr>
                <w:sz w:val="20"/>
                <w:szCs w:val="20"/>
              </w:rPr>
              <w:t xml:space="preserve">$2,100 in bills are due before your next paycheck.</w:t>
            </w:r>
          </w:p>
        </w:tc>
      </w:tr>
    </w:tbl>
    <w:p>
      <w:pPr>
        <w:pStyle w:val="Heading2"/>
        <w:spacing w:after="120" w:before="240"/>
      </w:pPr>
      <w:r>
        <w:t xml:space="preserve">51. Alert Priority</w:t>
      </w:r>
    </w:p>
    <w:p>
      <w:pPr>
        <w:spacing w:after="140"/>
      </w:pPr>
      <w:r>
        <w:t xml:space="preserve">Possible states: Info, Watch, Action Needed. Avoid excessive alerts.</w:t>
      </w:r>
    </w:p>
    <w:p>
      <w:pPr>
        <w:pStyle w:val="Heading1"/>
        <w:spacing w:after="160" w:before="360"/>
      </w:pPr>
      <w:r>
        <w:t xml:space="preserve">52. Settings</w:t>
      </w:r>
    </w:p>
    <w:p>
      <w:pPr>
        <w:pStyle w:val="ListParagraph"/>
        <w:numPr>
          <w:ilvl w:val="0"/>
          <w:numId w:val="2"/>
        </w:numPr>
        <w:spacing w:after="60"/>
      </w:pPr>
      <w:r>
        <w:t xml:space="preserve">Profile — name, email, password</w:t>
      </w:r>
    </w:p>
    <w:p>
      <w:pPr>
        <w:pStyle w:val="ListParagraph"/>
        <w:numPr>
          <w:ilvl w:val="0"/>
          <w:numId w:val="2"/>
        </w:numPr>
        <w:spacing w:after="60"/>
      </w:pPr>
      <w:r>
        <w:t xml:space="preserve">Accounts — manual accounts; future connected accounts</w:t>
      </w:r>
    </w:p>
    <w:p>
      <w:pPr>
        <w:pStyle w:val="ListParagraph"/>
        <w:numPr>
          <w:ilvl w:val="0"/>
          <w:numId w:val="2"/>
        </w:numPr>
        <w:spacing w:after="60"/>
      </w:pPr>
      <w:r>
        <w:t xml:space="preserve">Forecast — safety buffer, forecast horizon (default 30 days), currency</w:t>
      </w:r>
    </w:p>
    <w:p>
      <w:pPr>
        <w:pStyle w:val="ListParagraph"/>
        <w:numPr>
          <w:ilvl w:val="0"/>
          <w:numId w:val="2"/>
        </w:numPr>
        <w:spacing w:after="60"/>
      </w:pPr>
      <w:r>
        <w:t xml:space="preserve">Notifications — MVP may include preferences even if external notifications are not yet enabled</w:t>
      </w:r>
    </w:p>
    <w:p>
      <w:pPr>
        <w:pStyle w:val="ListParagraph"/>
        <w:numPr>
          <w:ilvl w:val="0"/>
          <w:numId w:val="2"/>
        </w:numPr>
        <w:spacing w:after="60"/>
      </w:pPr>
      <w:r>
        <w:t xml:space="preserve">Security — account/session management where supported; privacy information; delete account</w:t>
      </w:r>
    </w:p>
    <w:p>
      <w:pPr>
        <w:pStyle w:val="Heading1"/>
        <w:spacing w:after="160" w:before="360"/>
      </w:pPr>
      <w:r>
        <w:t xml:space="preserve">53. Forecast Functional Model</w:t>
      </w:r>
    </w:p>
    <w:p>
      <w:pPr>
        <w:spacing w:after="140"/>
      </w:pPr>
      <w:r>
        <w:t xml:space="preserve">All data sources must become standardized as Financial Events, with fields: Date, Amount, Type, Source, Account, Recurring, Confidence. Sources: Manual, CSV, Recurring Rule, Scenario, and (future) Plaid.</w:t>
      </w:r>
    </w:p>
    <w:p>
      <w:pPr>
        <w:pStyle w:val="Heading2"/>
        <w:spacing w:after="120" w:before="240"/>
      </w:pPr>
      <w:r>
        <w:t xml:space="preserve">54. Event Types</w:t>
      </w:r>
    </w:p>
    <w:p>
      <w:pPr>
        <w:pStyle w:val="ListParagraph"/>
        <w:numPr>
          <w:ilvl w:val="0"/>
          <w:numId w:val="2"/>
        </w:numPr>
        <w:spacing w:after="60"/>
      </w:pPr>
      <w:r>
        <w:t xml:space="preserve">Income — positive cash flow</w:t>
      </w:r>
    </w:p>
    <w:p>
      <w:pPr>
        <w:pStyle w:val="ListParagraph"/>
        <w:numPr>
          <w:ilvl w:val="0"/>
          <w:numId w:val="2"/>
        </w:numPr>
        <w:spacing w:after="60"/>
      </w:pPr>
      <w:r>
        <w:t xml:space="preserve">Expense — negative cash flow</w:t>
      </w:r>
    </w:p>
    <w:p>
      <w:pPr>
        <w:pStyle w:val="ListParagraph"/>
        <w:numPr>
          <w:ilvl w:val="0"/>
          <w:numId w:val="2"/>
        </w:numPr>
        <w:spacing w:after="60"/>
      </w:pPr>
      <w:r>
        <w:t xml:space="preserve">Scenario — temporary hypothetical event</w:t>
      </w:r>
    </w:p>
    <w:p>
      <w:pPr>
        <w:pStyle w:val="Heading2"/>
        <w:spacing w:after="120" w:before="240"/>
      </w:pPr>
      <w:r>
        <w:t xml:space="preserve">55. Event Confidence</w:t>
      </w:r>
    </w:p>
    <w:p>
      <w:pPr>
        <w:spacing w:after="140"/>
      </w:pPr>
      <w:r>
        <w:t xml:space="preserve">MVP can use simple semantic confidence: Confirmed (known amount/date, e.g. Rent $1,650 on Aug 1) or Estimated (approximate, e.g. Electricity ~$95 on Aug 12). Do not invent mathematically precise confidence percentages without evidence.</w:t>
      </w:r>
    </w:p>
    <w:p>
      <w:pPr>
        <w:pStyle w:val="Heading2"/>
        <w:spacing w:after="120" w:before="240"/>
      </w:pPr>
      <w:r>
        <w:t xml:space="preserve">56. Forecast Calculation</w:t>
      </w:r>
    </w:p>
    <w:p>
      <w:pPr>
        <w:spacing w:after="140"/>
      </w:pPr>
      <w:r>
        <w:t xml:space="preserve">Inputs: current balance, financial events, recurring rules, safety buffer, forecast horizon.</w:t>
      </w:r>
    </w:p>
    <w:p>
      <w:pPr>
        <w:spacing w:after="140"/>
      </w:pPr>
      <w:r>
        <w:t xml:space="preserve">Process: start with current balance → generate recurring future events → merge events → sort chronologically → simulate each day → calculate ending balances → find lowest balance → compare against safety buffer → calculate Safe to Spend → generate status, explanations, and alerts.</w:t>
      </w:r>
    </w:p>
    <w:p>
      <w:pPr>
        <w:pStyle w:val="Heading2"/>
        <w:spacing w:after="120" w:before="240"/>
      </w:pPr>
      <w:r>
        <w:t xml:space="preserve">57. Forecast Status 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0B1220" w:val="clear"/>
            <w:tcMar>
              <w:top w:type="dxa" w:w="80"/>
              <w:left w:type="dxa" w:w="100"/>
              <w:bottom w:type="dxa" w:w="80"/>
              <w:right w:type="dxa" w:w="100"/>
            </w:tcMar>
            <w:vAlign w:val="center"/>
          </w:tcPr>
          <w:p>
            <w:r>
              <w:rPr>
                <w:b/>
                <w:bCs/>
                <w:color w:val="FFFFFF"/>
                <w:sz w:val="20"/>
                <w:szCs w:val="20"/>
              </w:rPr>
              <w:t xml:space="preserve">Status</w:t>
            </w:r>
          </w:p>
        </w:tc>
        <w:tc>
          <w:tcPr>
            <w:tcW w:type="dxa" w:w="7300"/>
            <w:shd w:fill="0B1220" w:val="clear"/>
            <w:tcMar>
              <w:top w:type="dxa" w:w="80"/>
              <w:left w:type="dxa" w:w="100"/>
              <w:bottom w:type="dxa" w:w="80"/>
              <w:right w:type="dxa" w:w="100"/>
            </w:tcMar>
            <w:vAlign w:val="center"/>
          </w:tcPr>
          <w:p>
            <w:r>
              <w:rPr>
                <w:b/>
                <w:bCs/>
                <w:color w:val="FFFFFF"/>
                <w:sz w:val="20"/>
                <w:szCs w:val="20"/>
              </w:rPr>
              <w:t xml:space="preserve">Rule</w:t>
            </w:r>
          </w:p>
        </w:tc>
      </w:tr>
      <w:tr>
        <w:tc>
          <w:tcPr>
            <w:tcW w:type="dxa" w:w="2200"/>
            <w:tcMar>
              <w:top w:type="dxa" w:w="80"/>
              <w:left w:type="dxa" w:w="100"/>
              <w:bottom w:type="dxa" w:w="80"/>
              <w:right w:type="dxa" w:w="100"/>
            </w:tcMar>
          </w:tcPr>
          <w:p>
            <w:r>
              <w:rPr>
                <w:sz w:val="20"/>
                <w:szCs w:val="20"/>
              </w:rPr>
              <w:t xml:space="preserve">Safe</w:t>
            </w:r>
          </w:p>
        </w:tc>
        <w:tc>
          <w:tcPr>
            <w:tcW w:type="dxa" w:w="7300"/>
            <w:tcMar>
              <w:top w:type="dxa" w:w="80"/>
              <w:left w:type="dxa" w:w="100"/>
              <w:bottom w:type="dxa" w:w="80"/>
              <w:right w:type="dxa" w:w="100"/>
            </w:tcMar>
          </w:tcPr>
          <w:p>
            <w:r>
              <w:rPr>
                <w:sz w:val="20"/>
                <w:szCs w:val="20"/>
              </w:rPr>
              <w:t xml:space="preserve">Lowest projected balance remains comfortably above safety buffer.</w:t>
            </w:r>
          </w:p>
        </w:tc>
      </w:tr>
      <w:tr>
        <w:tc>
          <w:tcPr>
            <w:tcW w:type="dxa" w:w="2200"/>
            <w:tcMar>
              <w:top w:type="dxa" w:w="80"/>
              <w:left w:type="dxa" w:w="100"/>
              <w:bottom w:type="dxa" w:w="80"/>
              <w:right w:type="dxa" w:w="100"/>
            </w:tcMar>
          </w:tcPr>
          <w:p>
            <w:r>
              <w:rPr>
                <w:sz w:val="20"/>
                <w:szCs w:val="20"/>
              </w:rPr>
              <w:t xml:space="preserve">Watch</w:t>
            </w:r>
          </w:p>
        </w:tc>
        <w:tc>
          <w:tcPr>
            <w:tcW w:type="dxa" w:w="7300"/>
            <w:tcMar>
              <w:top w:type="dxa" w:w="80"/>
              <w:left w:type="dxa" w:w="100"/>
              <w:bottom w:type="dxa" w:w="80"/>
              <w:right w:type="dxa" w:w="100"/>
            </w:tcMar>
          </w:tcPr>
          <w:p>
            <w:r>
              <w:rPr>
                <w:sz w:val="20"/>
                <w:szCs w:val="20"/>
              </w:rPr>
              <w:t xml:space="preserve">Projected balance approaches buffer.</w:t>
            </w:r>
          </w:p>
        </w:tc>
      </w:tr>
      <w:tr>
        <w:tc>
          <w:tcPr>
            <w:tcW w:type="dxa" w:w="2200"/>
            <w:tcMar>
              <w:top w:type="dxa" w:w="80"/>
              <w:left w:type="dxa" w:w="100"/>
              <w:bottom w:type="dxa" w:w="80"/>
              <w:right w:type="dxa" w:w="100"/>
            </w:tcMar>
          </w:tcPr>
          <w:p>
            <w:r>
              <w:rPr>
                <w:sz w:val="20"/>
                <w:szCs w:val="20"/>
              </w:rPr>
              <w:t xml:space="preserve">Risk</w:t>
            </w:r>
          </w:p>
        </w:tc>
        <w:tc>
          <w:tcPr>
            <w:tcW w:type="dxa" w:w="7300"/>
            <w:tcMar>
              <w:top w:type="dxa" w:w="80"/>
              <w:left w:type="dxa" w:w="100"/>
              <w:bottom w:type="dxa" w:w="80"/>
              <w:right w:type="dxa" w:w="100"/>
            </w:tcMar>
          </w:tcPr>
          <w:p>
            <w:r>
              <w:rPr>
                <w:sz w:val="20"/>
                <w:szCs w:val="20"/>
              </w:rPr>
              <w:t xml:space="preserve">Projected balance breaches buffer.</w:t>
            </w:r>
          </w:p>
        </w:tc>
      </w:tr>
      <w:tr>
        <w:tc>
          <w:tcPr>
            <w:tcW w:type="dxa" w:w="2200"/>
            <w:tcMar>
              <w:top w:type="dxa" w:w="80"/>
              <w:left w:type="dxa" w:w="100"/>
              <w:bottom w:type="dxa" w:w="80"/>
              <w:right w:type="dxa" w:w="100"/>
            </w:tcMar>
          </w:tcPr>
          <w:p>
            <w:r>
              <w:rPr>
                <w:sz w:val="20"/>
                <w:szCs w:val="20"/>
              </w:rPr>
              <w:t xml:space="preserve">Critical</w:t>
            </w:r>
          </w:p>
        </w:tc>
        <w:tc>
          <w:tcPr>
            <w:tcW w:type="dxa" w:w="7300"/>
            <w:tcMar>
              <w:top w:type="dxa" w:w="80"/>
              <w:left w:type="dxa" w:w="100"/>
              <w:bottom w:type="dxa" w:w="80"/>
              <w:right w:type="dxa" w:w="100"/>
            </w:tcMar>
          </w:tcPr>
          <w:p>
            <w:r>
              <w:rPr>
                <w:sz w:val="20"/>
                <w:szCs w:val="20"/>
              </w:rPr>
              <w:t xml:space="preserve">Projected balance becomes negative.</w:t>
            </w:r>
          </w:p>
        </w:tc>
      </w:tr>
    </w:tbl>
    <w:p>
      <w:pPr>
        <w:spacing w:after="140"/>
      </w:pPr>
      <w:r>
        <w:t xml:space="preserve">Exact “Watch” thresholds should be configurable later; MVP can use a simple rule.</w:t>
      </w:r>
    </w:p>
    <w:p>
      <w:pPr>
        <w:pStyle w:val="Heading2"/>
        <w:spacing w:after="120" w:before="240"/>
      </w:pPr>
      <w:r>
        <w:t xml:space="preserve">58. Explanation Engine</w:t>
      </w:r>
    </w:p>
    <w:p>
      <w:pPr>
        <w:spacing w:after="140"/>
      </w:pPr>
      <w:r>
        <w:t xml:space="preserve">Every significant result should answer: What happened? When? Why? Which events caused it? Example: “Your lowest projected balance is $420 on August 3 because rent ($1,650), insurance ($180), and internet ($70) occur before your August 8 paycheck.” No generative AI is required to create this explanation — template-based explanations are preferable initially.</w:t>
      </w:r>
    </w:p>
    <w:p>
      <w:pPr>
        <w:pStyle w:val="Heading1"/>
        <w:spacing w:after="160" w:before="360"/>
      </w:pPr>
      <w:r>
        <w:t xml:space="preserve">59. Empty States</w:t>
      </w:r>
    </w:p>
    <w:p>
      <w:pPr>
        <w:pStyle w:val="ListParagraph"/>
        <w:numPr>
          <w:ilvl w:val="0"/>
          <w:numId w:val="2"/>
        </w:numPr>
        <w:spacing w:after="60"/>
      </w:pPr>
      <w:r>
        <w:t xml:space="preserve">No Account — “Add your current balance to generate your first forecast.”</w:t>
      </w:r>
    </w:p>
    <w:p>
      <w:pPr>
        <w:pStyle w:val="ListParagraph"/>
        <w:numPr>
          <w:ilvl w:val="0"/>
          <w:numId w:val="2"/>
        </w:numPr>
        <w:spacing w:after="60"/>
      </w:pPr>
      <w:r>
        <w:t xml:space="preserve">No Recurring Income — “Add your next paycheck so FlowSight can project your future balance.”</w:t>
      </w:r>
    </w:p>
    <w:p>
      <w:pPr>
        <w:pStyle w:val="ListParagraph"/>
        <w:numPr>
          <w:ilvl w:val="0"/>
          <w:numId w:val="2"/>
        </w:numPr>
        <w:spacing w:after="60"/>
      </w:pPr>
      <w:r>
        <w:t xml:space="preserve">No Bills — “Add upcoming bills to make your forecast more accurate.”</w:t>
      </w:r>
    </w:p>
    <w:p>
      <w:pPr>
        <w:pStyle w:val="ListParagraph"/>
        <w:numPr>
          <w:ilvl w:val="0"/>
          <w:numId w:val="2"/>
        </w:numPr>
        <w:spacing w:after="60"/>
      </w:pPr>
      <w:r>
        <w:t xml:space="preserve">No Transactions — “Add a transaction or import a CSV.”</w:t>
      </w:r>
    </w:p>
    <w:p>
      <w:pPr>
        <w:pStyle w:val="ListParagraph"/>
        <w:numPr>
          <w:ilvl w:val="0"/>
          <w:numId w:val="2"/>
        </w:numPr>
        <w:spacing w:after="60"/>
      </w:pPr>
      <w:r>
        <w:t xml:space="preserve">No Alerts — “Everything looks clear. No financial risks need your attention right now.”</w:t>
      </w:r>
    </w:p>
    <w:p>
      <w:pPr>
        <w:pStyle w:val="ListParagraph"/>
        <w:numPr>
          <w:ilvl w:val="0"/>
          <w:numId w:val="2"/>
        </w:numPr>
        <w:spacing w:after="60"/>
      </w:pPr>
      <w:r>
        <w:t xml:space="preserve">No Scenario — “Try a financial decision before making it.”</w:t>
      </w:r>
    </w:p>
    <w:p>
      <w:pPr>
        <w:pStyle w:val="Heading2"/>
        <w:spacing w:after="120" w:before="240"/>
      </w:pPr>
      <w:r>
        <w:t xml:space="preserve">60. Error States</w:t>
      </w:r>
    </w:p>
    <w:p>
      <w:pPr>
        <w:spacing w:after="140"/>
      </w:pPr>
      <w:r>
        <w:t xml:space="preserve">Errors must explain what happened, whether data was saved, and how to recover. Bad: “Error 500.” Good: “We couldn't import this CSV because the transaction amount column could not be identified. Choose the correct amount column and try again.”</w:t>
      </w:r>
    </w:p>
    <w:p>
      <w:pPr>
        <w:pStyle w:val="Heading2"/>
        <w:spacing w:after="120" w:before="240"/>
      </w:pPr>
      <w:r>
        <w:t xml:space="preserve">61. Loading States</w:t>
      </w:r>
    </w:p>
    <w:p>
      <w:pPr>
        <w:spacing w:after="140"/>
      </w:pPr>
      <w:r>
        <w:t xml:space="preserve">Use skeletons, short progress indicators, and meaningful status text. Avoid pretending complex AI processing is occurring.</w:t>
      </w:r>
    </w:p>
    <w:p>
      <w:pPr>
        <w:pStyle w:val="Heading1"/>
        <w:spacing w:after="160" w:before="360"/>
      </w:pPr>
      <w:r>
        <w:t xml:space="preserve">62. Responsive Requirements</w:t>
      </w:r>
    </w:p>
    <w:p>
      <w:pPr>
        <w:spacing w:after="140"/>
      </w:pPr>
      <w:r>
        <w:t xml:space="preserve">The application must support desktop, tablet, and mobile. Desktop uses sidebar navigation; mobile uses a compact header plus bottom navigation / mobile menu. The Dashboard's most important information (Status, Safe to Spend, Forecast) must remain visible without excessive scrolling.</w:t>
      </w:r>
    </w:p>
    <w:p>
      <w:pPr>
        <w:pStyle w:val="Heading1"/>
        <w:spacing w:after="160" w:before="360"/>
      </w:pPr>
      <w:r>
        <w:t xml:space="preserve">63. Visual Design Rules</w:t>
      </w:r>
    </w:p>
    <w:p>
      <w:pPr>
        <w:spacing w:after="140"/>
      </w:pPr>
      <w:r>
        <w:t xml:space="preserve">Visual personality: Calm. Intelligent. Precise.</w:t>
      </w:r>
    </w:p>
    <w:p>
      <w:pPr>
        <w:spacing w:after="40"/>
      </w:pPr>
      <w:r>
        <w:rPr>
          <w:b/>
          <w:bCs/>
          <w:color w:val="5573FF"/>
          <w:sz w:val="18"/>
          <w:szCs w:val="18"/>
        </w:rPr>
        <w:t xml:space="preserve">Core palette</w:t>
      </w:r>
    </w:p>
    <w:p>
      <w:pPr>
        <w:pStyle w:val="ListParagraph"/>
        <w:numPr>
          <w:ilvl w:val="0"/>
          <w:numId w:val="2"/>
        </w:numPr>
        <w:spacing w:after="60"/>
      </w:pPr>
      <w:r>
        <w:t xml:space="preserve">Background — #080c14</w:t>
      </w:r>
    </w:p>
    <w:p>
      <w:pPr>
        <w:pStyle w:val="ListParagraph"/>
        <w:numPr>
          <w:ilvl w:val="0"/>
          <w:numId w:val="2"/>
        </w:numPr>
        <w:spacing w:after="60"/>
      </w:pPr>
      <w:r>
        <w:t xml:space="preserve">Primary Indigo — #5573ff</w:t>
      </w:r>
    </w:p>
    <w:p>
      <w:pPr>
        <w:pStyle w:val="ListParagraph"/>
        <w:numPr>
          <w:ilvl w:val="0"/>
          <w:numId w:val="2"/>
        </w:numPr>
        <w:spacing w:after="60"/>
      </w:pPr>
      <w:r>
        <w:t xml:space="preserve">Accent Mint — #1dd8a0</w:t>
      </w:r>
    </w:p>
    <w:p>
      <w:pPr>
        <w:spacing w:after="40"/>
      </w:pPr>
      <w:r>
        <w:rPr>
          <w:b/>
          <w:bCs/>
          <w:color w:val="5573FF"/>
          <w:sz w:val="18"/>
          <w:szCs w:val="18"/>
        </w:rPr>
        <w:t xml:space="preserve">Typography</w:t>
      </w:r>
    </w:p>
    <w:p>
      <w:pPr>
        <w:pStyle w:val="ListParagraph"/>
        <w:numPr>
          <w:ilvl w:val="0"/>
          <w:numId w:val="2"/>
        </w:numPr>
        <w:spacing w:after="60"/>
      </w:pPr>
      <w:r>
        <w:t xml:space="preserve">Bricolage Grotesque — display/headings</w:t>
      </w:r>
    </w:p>
    <w:p>
      <w:pPr>
        <w:pStyle w:val="ListParagraph"/>
        <w:numPr>
          <w:ilvl w:val="0"/>
          <w:numId w:val="2"/>
        </w:numPr>
        <w:spacing w:after="60"/>
      </w:pPr>
      <w:r>
        <w:t xml:space="preserve">DM Sans — body/UI</w:t>
      </w:r>
    </w:p>
    <w:p>
      <w:pPr>
        <w:pStyle w:val="ListParagraph"/>
        <w:numPr>
          <w:ilvl w:val="0"/>
          <w:numId w:val="2"/>
        </w:numPr>
        <w:spacing w:after="60"/>
      </w:pPr>
      <w:r>
        <w:t xml:space="preserve">DM Mono — balances, dates, forecast numbers, chart labels</w:t>
      </w:r>
    </w:p>
    <w:p>
      <w:pPr>
        <w:spacing w:after="140"/>
      </w:pPr>
      <w:r>
        <w:t xml:space="preserve">Figma Make remains the visual source of truth for frontend implementation.</w:t>
      </w:r>
    </w:p>
    <w:p>
      <w:pPr>
        <w:pStyle w:val="Heading1"/>
        <w:spacing w:after="160" w:before="360"/>
      </w:pPr>
      <w:r>
        <w:t xml:space="preserve">64. Trust Requirements</w:t>
      </w:r>
    </w:p>
    <w:p>
      <w:pPr>
        <w:spacing w:after="140"/>
      </w:pPr>
      <w:r>
        <w:t xml:space="preserve">FlowSight must never:</w:t>
      </w:r>
    </w:p>
    <w:p>
      <w:pPr>
        <w:pStyle w:val="ListParagraph"/>
        <w:numPr>
          <w:ilvl w:val="0"/>
          <w:numId w:val="2"/>
        </w:numPr>
        <w:spacing w:after="60"/>
      </w:pPr>
      <w:r>
        <w:t xml:space="preserve">Claim unsupported forecast accuracy</w:t>
      </w:r>
    </w:p>
    <w:p>
      <w:pPr>
        <w:pStyle w:val="ListParagraph"/>
        <w:numPr>
          <w:ilvl w:val="0"/>
          <w:numId w:val="2"/>
        </w:numPr>
        <w:spacing w:after="60"/>
      </w:pPr>
      <w:r>
        <w:t xml:space="preserve">Hide forecast assumptions</w:t>
      </w:r>
    </w:p>
    <w:p>
      <w:pPr>
        <w:pStyle w:val="ListParagraph"/>
        <w:numPr>
          <w:ilvl w:val="0"/>
          <w:numId w:val="2"/>
        </w:numPr>
        <w:spacing w:after="60"/>
      </w:pPr>
      <w:r>
        <w:t xml:space="preserve">Imply AI certainty</w:t>
      </w:r>
    </w:p>
    <w:p>
      <w:pPr>
        <w:pStyle w:val="ListParagraph"/>
        <w:numPr>
          <w:ilvl w:val="0"/>
          <w:numId w:val="2"/>
        </w:numPr>
        <w:spacing w:after="60"/>
      </w:pPr>
      <w:r>
        <w:t xml:space="preserve">Imply Plaid connectivity before implemented</w:t>
      </w:r>
    </w:p>
    <w:p>
      <w:pPr>
        <w:pStyle w:val="ListParagraph"/>
        <w:numPr>
          <w:ilvl w:val="0"/>
          <w:numId w:val="2"/>
        </w:numPr>
        <w:spacing w:after="60"/>
      </w:pPr>
      <w:r>
        <w:t xml:space="preserve">Silently alter financial data through scenarios</w:t>
      </w:r>
    </w:p>
    <w:p>
      <w:pPr>
        <w:pStyle w:val="ListParagraph"/>
        <w:numPr>
          <w:ilvl w:val="0"/>
          <w:numId w:val="2"/>
        </w:numPr>
        <w:spacing w:after="60"/>
      </w:pPr>
      <w:r>
        <w:t xml:space="preserve">Present estimated events as confirmed</w:t>
      </w:r>
    </w:p>
    <w:p>
      <w:pPr>
        <w:spacing w:after="140"/>
      </w:pPr>
      <w:r>
        <w:t xml:space="preserve">Users should be able to understand: What data is included? What is known? What is estimated? Why did the forecast change?</w:t>
      </w:r>
    </w:p>
    <w:p>
      <w:pPr>
        <w:pStyle w:val="Heading1"/>
        <w:spacing w:after="160" w:before="360"/>
      </w:pPr>
      <w:r>
        <w:t xml:space="preserve">65. MVP 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0B1220" w:val="clear"/>
            <w:tcMar>
              <w:top w:type="dxa" w:w="80"/>
              <w:left w:type="dxa" w:w="100"/>
              <w:bottom w:type="dxa" w:w="80"/>
              <w:right w:type="dxa" w:w="100"/>
            </w:tcMar>
            <w:vAlign w:val="center"/>
          </w:tcPr>
          <w:p>
            <w:r>
              <w:rPr>
                <w:b/>
                <w:bCs/>
                <w:color w:val="FFFFFF"/>
                <w:sz w:val="20"/>
                <w:szCs w:val="20"/>
              </w:rPr>
              <w:t xml:space="preserve">Included in MVP</w:t>
            </w:r>
          </w:p>
        </w:tc>
        <w:tc>
          <w:tcPr>
            <w:tcW w:type="dxa" w:w="4750"/>
            <w:shd w:fill="0B1220" w:val="clear"/>
            <w:tcMar>
              <w:top w:type="dxa" w:w="80"/>
              <w:left w:type="dxa" w:w="100"/>
              <w:bottom w:type="dxa" w:w="80"/>
              <w:right w:type="dxa" w:w="100"/>
            </w:tcMar>
            <w:vAlign w:val="center"/>
          </w:tcPr>
          <w:p>
            <w:r>
              <w:rPr>
                <w:b/>
                <w:bCs/>
                <w:color w:val="FFFFFF"/>
                <w:sz w:val="20"/>
                <w:szCs w:val="20"/>
              </w:rPr>
              <w:t xml:space="preserve">Explicit Non-Goals</w:t>
            </w:r>
          </w:p>
        </w:tc>
      </w:tr>
      <w:tr>
        <w:tc>
          <w:tcPr>
            <w:tcW w:type="dxa" w:w="4750"/>
            <w:tcMar>
              <w:top w:type="dxa" w:w="80"/>
              <w:left w:type="dxa" w:w="100"/>
              <w:bottom w:type="dxa" w:w="80"/>
              <w:right w:type="dxa" w:w="100"/>
            </w:tcMar>
          </w:tcPr>
          <w:p>
            <w:r>
              <w:rPr>
                <w:sz w:val="20"/>
                <w:szCs w:val="20"/>
              </w:rPr>
              <w:t xml:space="preserve">Landing; email/password auth</w:t>
            </w:r>
          </w:p>
        </w:tc>
        <w:tc>
          <w:tcPr>
            <w:tcW w:type="dxa" w:w="4750"/>
            <w:tcMar>
              <w:top w:type="dxa" w:w="80"/>
              <w:left w:type="dxa" w:w="100"/>
              <w:bottom w:type="dxa" w:w="80"/>
              <w:right w:type="dxa" w:w="100"/>
            </w:tcMar>
          </w:tcPr>
          <w:p>
            <w:r>
              <w:rPr>
                <w:sz w:val="20"/>
                <w:szCs w:val="20"/>
              </w:rPr>
              <w:t xml:space="preserve">Plaid production integration</w:t>
            </w:r>
          </w:p>
        </w:tc>
      </w:tr>
      <w:tr>
        <w:tc>
          <w:tcPr>
            <w:tcW w:type="dxa" w:w="4750"/>
            <w:tcMar>
              <w:top w:type="dxa" w:w="80"/>
              <w:left w:type="dxa" w:w="100"/>
              <w:bottom w:type="dxa" w:w="80"/>
              <w:right w:type="dxa" w:w="100"/>
            </w:tcMar>
          </w:tcPr>
          <w:p>
            <w:r>
              <w:rPr>
                <w:sz w:val="20"/>
                <w:szCs w:val="20"/>
              </w:rPr>
              <w:t xml:space="preserve">Manual onboarding; manual account</w:t>
            </w:r>
          </w:p>
        </w:tc>
        <w:tc>
          <w:tcPr>
            <w:tcW w:type="dxa" w:w="4750"/>
            <w:tcMar>
              <w:top w:type="dxa" w:w="80"/>
              <w:left w:type="dxa" w:w="100"/>
              <w:bottom w:type="dxa" w:w="80"/>
              <w:right w:type="dxa" w:w="100"/>
            </w:tcMar>
          </w:tcPr>
          <w:p>
            <w:r>
              <w:rPr>
                <w:sz w:val="20"/>
                <w:szCs w:val="20"/>
              </w:rPr>
              <w:t xml:space="preserve">Investment tracking; crypto</w:t>
            </w:r>
          </w:p>
        </w:tc>
      </w:tr>
      <w:tr>
        <w:tc>
          <w:tcPr>
            <w:tcW w:type="dxa" w:w="4750"/>
            <w:tcMar>
              <w:top w:type="dxa" w:w="80"/>
              <w:left w:type="dxa" w:w="100"/>
              <w:bottom w:type="dxa" w:w="80"/>
              <w:right w:type="dxa" w:w="100"/>
            </w:tcMar>
          </w:tcPr>
          <w:p>
            <w:r>
              <w:rPr>
                <w:sz w:val="20"/>
                <w:szCs w:val="20"/>
              </w:rPr>
              <w:t xml:space="preserve">Current balance; recurring income/bills</w:t>
            </w:r>
          </w:p>
        </w:tc>
        <w:tc>
          <w:tcPr>
            <w:tcW w:type="dxa" w:w="4750"/>
            <w:tcMar>
              <w:top w:type="dxa" w:w="80"/>
              <w:left w:type="dxa" w:w="100"/>
              <w:bottom w:type="dxa" w:w="80"/>
              <w:right w:type="dxa" w:w="100"/>
            </w:tcMar>
          </w:tcPr>
          <w:p>
            <w:r>
              <w:rPr>
                <w:sz w:val="20"/>
                <w:szCs w:val="20"/>
              </w:rPr>
              <w:t xml:space="preserve">Net-worth analytics</w:t>
            </w:r>
          </w:p>
        </w:tc>
      </w:tr>
      <w:tr>
        <w:tc>
          <w:tcPr>
            <w:tcW w:type="dxa" w:w="4750"/>
            <w:tcMar>
              <w:top w:type="dxa" w:w="80"/>
              <w:left w:type="dxa" w:w="100"/>
              <w:bottom w:type="dxa" w:w="80"/>
              <w:right w:type="dxa" w:w="100"/>
            </w:tcMar>
          </w:tcPr>
          <w:p>
            <w:r>
              <w:rPr>
                <w:sz w:val="20"/>
                <w:szCs w:val="20"/>
              </w:rPr>
              <w:t xml:space="preserve">Safety buffer</w:t>
            </w:r>
          </w:p>
        </w:tc>
        <w:tc>
          <w:tcPr>
            <w:tcW w:type="dxa" w:w="4750"/>
            <w:tcMar>
              <w:top w:type="dxa" w:w="80"/>
              <w:left w:type="dxa" w:w="100"/>
              <w:bottom w:type="dxa" w:w="80"/>
              <w:right w:type="dxa" w:w="100"/>
            </w:tcMar>
          </w:tcPr>
          <w:p>
            <w:r>
              <w:rPr>
                <w:sz w:val="20"/>
                <w:szCs w:val="20"/>
              </w:rPr>
              <w:t xml:space="preserve">Envelope budgeting; category budgets</w:t>
            </w:r>
          </w:p>
        </w:tc>
      </w:tr>
      <w:tr>
        <w:tc>
          <w:tcPr>
            <w:tcW w:type="dxa" w:w="4750"/>
            <w:tcMar>
              <w:top w:type="dxa" w:w="80"/>
              <w:left w:type="dxa" w:w="100"/>
              <w:bottom w:type="dxa" w:w="80"/>
              <w:right w:type="dxa" w:w="100"/>
            </w:tcMar>
          </w:tcPr>
          <w:p>
            <w:r>
              <w:rPr>
                <w:sz w:val="20"/>
                <w:szCs w:val="20"/>
              </w:rPr>
              <w:t xml:space="preserve">CSV import, mapping, recurring suggestions</w:t>
            </w:r>
          </w:p>
        </w:tc>
        <w:tc>
          <w:tcPr>
            <w:tcW w:type="dxa" w:w="4750"/>
            <w:tcMar>
              <w:top w:type="dxa" w:w="80"/>
              <w:left w:type="dxa" w:w="100"/>
              <w:bottom w:type="dxa" w:w="80"/>
              <w:right w:type="dxa" w:w="100"/>
            </w:tcMar>
          </w:tcPr>
          <w:p>
            <w:r>
              <w:rPr>
                <w:sz w:val="20"/>
                <w:szCs w:val="20"/>
              </w:rPr>
              <w:t xml:space="preserve">Shared household finances</w:t>
            </w:r>
          </w:p>
        </w:tc>
      </w:tr>
      <w:tr>
        <w:tc>
          <w:tcPr>
            <w:tcW w:type="dxa" w:w="4750"/>
            <w:tcMar>
              <w:top w:type="dxa" w:w="80"/>
              <w:left w:type="dxa" w:w="100"/>
              <w:bottom w:type="dxa" w:w="80"/>
              <w:right w:type="dxa" w:w="100"/>
            </w:tcMar>
          </w:tcPr>
          <w:p>
            <w:r>
              <w:rPr>
                <w:sz w:val="20"/>
                <w:szCs w:val="20"/>
              </w:rPr>
              <w:t xml:space="preserve">30-day deterministic forecast</w:t>
            </w:r>
          </w:p>
        </w:tc>
        <w:tc>
          <w:tcPr>
            <w:tcW w:type="dxa" w:w="4750"/>
            <w:tcMar>
              <w:top w:type="dxa" w:w="80"/>
              <w:left w:type="dxa" w:w="100"/>
              <w:bottom w:type="dxa" w:w="80"/>
              <w:right w:type="dxa" w:w="100"/>
            </w:tcMar>
          </w:tcPr>
          <w:p>
            <w:r>
              <w:rPr>
                <w:sz w:val="20"/>
                <w:szCs w:val="20"/>
              </w:rPr>
              <w:t xml:space="preserve">Receipt OCR</w:t>
            </w:r>
          </w:p>
        </w:tc>
      </w:tr>
      <w:tr>
        <w:tc>
          <w:tcPr>
            <w:tcW w:type="dxa" w:w="4750"/>
            <w:tcMar>
              <w:top w:type="dxa" w:w="80"/>
              <w:left w:type="dxa" w:w="100"/>
              <w:bottom w:type="dxa" w:w="80"/>
              <w:right w:type="dxa" w:w="100"/>
            </w:tcMar>
          </w:tcPr>
          <w:p>
            <w:r>
              <w:rPr>
                <w:sz w:val="20"/>
                <w:szCs w:val="20"/>
              </w:rPr>
              <w:t xml:space="preserve">Dashboard; Safe to Spend; explanations</w:t>
            </w:r>
          </w:p>
        </w:tc>
        <w:tc>
          <w:tcPr>
            <w:tcW w:type="dxa" w:w="4750"/>
            <w:tcMar>
              <w:top w:type="dxa" w:w="80"/>
              <w:left w:type="dxa" w:w="100"/>
              <w:bottom w:type="dxa" w:w="80"/>
              <w:right w:type="dxa" w:w="100"/>
            </w:tcMar>
          </w:tcPr>
          <w:p>
            <w:r>
              <w:rPr>
                <w:sz w:val="20"/>
                <w:szCs w:val="20"/>
              </w:rPr>
              <w:t xml:space="preserve">Multi-currency; tax management</w:t>
            </w:r>
          </w:p>
        </w:tc>
      </w:tr>
      <w:tr>
        <w:tc>
          <w:tcPr>
            <w:tcW w:type="dxa" w:w="4750"/>
            <w:tcMar>
              <w:top w:type="dxa" w:w="80"/>
              <w:left w:type="dxa" w:w="100"/>
              <w:bottom w:type="dxa" w:w="80"/>
              <w:right w:type="dxa" w:w="100"/>
            </w:tcMar>
          </w:tcPr>
          <w:p>
            <w:r>
              <w:rPr>
                <w:sz w:val="20"/>
                <w:szCs w:val="20"/>
              </w:rPr>
              <w:t xml:space="preserve">Transactions; Accounts</w:t>
            </w:r>
          </w:p>
        </w:tc>
        <w:tc>
          <w:tcPr>
            <w:tcW w:type="dxa" w:w="4750"/>
            <w:tcMar>
              <w:top w:type="dxa" w:w="80"/>
              <w:left w:type="dxa" w:w="100"/>
              <w:bottom w:type="dxa" w:w="80"/>
              <w:right w:type="dxa" w:w="100"/>
            </w:tcMar>
          </w:tcPr>
          <w:p>
            <w:r>
              <w:rPr>
                <w:sz w:val="20"/>
                <w:szCs w:val="20"/>
              </w:rPr>
              <w:t xml:space="preserve">Credit score; debt payoff optimizer</w:t>
            </w:r>
          </w:p>
        </w:tc>
      </w:tr>
      <w:tr>
        <w:tc>
          <w:tcPr>
            <w:tcW w:type="dxa" w:w="4750"/>
            <w:tcMar>
              <w:top w:type="dxa" w:w="80"/>
              <w:left w:type="dxa" w:w="100"/>
              <w:bottom w:type="dxa" w:w="80"/>
              <w:right w:type="dxa" w:w="100"/>
            </w:tcMar>
          </w:tcPr>
          <w:p>
            <w:r>
              <w:rPr>
                <w:sz w:val="20"/>
                <w:szCs w:val="20"/>
              </w:rPr>
              <w:t xml:space="preserve">Scenario Planner; core alerts</w:t>
            </w:r>
          </w:p>
        </w:tc>
        <w:tc>
          <w:tcPr>
            <w:tcW w:type="dxa" w:w="4750"/>
            <w:tcMar>
              <w:top w:type="dxa" w:w="80"/>
              <w:left w:type="dxa" w:w="100"/>
              <w:bottom w:type="dxa" w:w="80"/>
              <w:right w:type="dxa" w:w="100"/>
            </w:tcMar>
          </w:tcPr>
          <w:p>
            <w:r>
              <w:rPr>
                <w:sz w:val="20"/>
                <w:szCs w:val="20"/>
              </w:rPr>
              <w:t xml:space="preserve">AI chatbot / financial advisor</w:t>
            </w:r>
          </w:p>
        </w:tc>
      </w:tr>
      <w:tr>
        <w:tc>
          <w:tcPr>
            <w:tcW w:type="dxa" w:w="4750"/>
            <w:tcMar>
              <w:top w:type="dxa" w:w="80"/>
              <w:left w:type="dxa" w:w="100"/>
              <w:bottom w:type="dxa" w:w="80"/>
              <w:right w:type="dxa" w:w="100"/>
            </w:tcMar>
          </w:tcPr>
          <w:p>
            <w:r>
              <w:rPr>
                <w:sz w:val="20"/>
                <w:szCs w:val="20"/>
              </w:rPr>
              <w:t xml:space="preserve">Settings; responsive UI</w:t>
            </w:r>
          </w:p>
        </w:tc>
        <w:tc>
          <w:tcPr>
            <w:tcW w:type="dxa" w:w="4750"/>
            <w:tcMar>
              <w:top w:type="dxa" w:w="80"/>
              <w:left w:type="dxa" w:w="100"/>
              <w:bottom w:type="dxa" w:w="80"/>
              <w:right w:type="dxa" w:w="100"/>
            </w:tcMar>
          </w:tcPr>
          <w:p>
            <w:r>
              <w:rPr>
                <w:sz w:val="20"/>
                <w:szCs w:val="20"/>
              </w:rPr>
              <w:t xml:space="preserve">Complex ML forecasting; freelancer invoice probability modeling</w:t>
            </w:r>
          </w:p>
        </w:tc>
      </w:tr>
    </w:tbl>
    <w:p>
      <w:pPr>
        <w:pStyle w:val="Heading1"/>
        <w:spacing w:after="160" w:before="360"/>
      </w:pPr>
      <w:r>
        <w:t xml:space="preserve">66.1. Note on Intentional Deferral</w:t>
      </w:r>
    </w:p>
    <w:p>
      <w:pPr>
        <w:spacing w:after="140"/>
      </w:pPr>
      <w:r>
        <w:t xml:space="preserve">The items below are not omissions — they were deliberately scoped out of this MVP so the deterministic forecasting core could ship and be validated first. They remain part of the product direction and should be revisited once the validation gates in §69 are met, not treated as abandoned.</w:t>
      </w:r>
    </w:p>
    <w:p>
      <w:pPr>
        <w:pStyle w:val="Heading2"/>
        <w:spacing w:after="120" w:before="240"/>
      </w:pPr>
      <w:r>
        <w:t xml:space="preserve">Deferred: Freelancer Mode as Primary Beachhead</w:t>
      </w:r>
    </w:p>
    <w:p>
      <w:pPr>
        <w:spacing w:after="140"/>
      </w:pPr>
      <w:r>
        <w:t xml:space="preserve">Earlier product exploration identified freelancer/variable-income mode — stable expenses against chaotic income — as a potential primary differentiator and beachhead market, not just a future persona. This spec instead sequences a general salaried-worker MVP first (§4.2, §66). That choice has not been separately validated or ratified as the go-to-market decision; it is a build-sequencing default. The open strategic question — general app with freelancer mode as a tier, versus freelancer-first beachhead — remains unresolved and should be decided explicitly, not by default of what got scoped into MVP 1.0.</w:t>
      </w:r>
    </w:p>
    <w:p>
      <w:pPr>
        <w:pStyle w:val="Heading2"/>
        <w:spacing w:after="120" w:before="240"/>
      </w:pPr>
      <w:r>
        <w:t xml:space="preserve">Deferred: Probabilistic Projection Cones</w:t>
      </w:r>
    </w:p>
    <w:p>
      <w:pPr>
        <w:spacing w:after="140"/>
      </w:pPr>
      <w:r>
        <w:t xml:space="preserve">This MVP forecasts a single deterministic line (§6.4, §56). Showing a range of likely outcomes rather than one precise-looking number was identified as a key differentiator versus incumbent budgeting apps and should be scoped for the release following beta validation.</w:t>
      </w:r>
    </w:p>
    <w:p>
      <w:pPr>
        <w:pStyle w:val="Heading2"/>
        <w:spacing w:after="120" w:before="240"/>
      </w:pPr>
      <w:r>
        <w:t xml:space="preserve">Deferred: Resolution Cards</w:t>
      </w:r>
    </w:p>
    <w:p>
      <w:pPr>
        <w:spacing w:after="140"/>
      </w:pPr>
      <w:r>
        <w:t xml:space="preserve">MVP alerts describe problems (§49–51) but do not yet offer in-place solutions. Alerts that propose a concrete resolution — not just a warning — were identified as a differentiator and are planned for a later release once alert usefulness is validated.</w:t>
      </w:r>
    </w:p>
    <w:p>
      <w:pPr>
        <w:spacing w:after="140"/>
      </w:pPr>
      <w:r>
        <w:t xml:space="preserve">Rationale: each of these adds meaningful engineering or modeling complexity on top of the core engine. Building the deterministic core first, proving comprehension/trust/retention (§69), and only then layering in probability, resolution, and beachhead-market decisions reduces the risk of over-building before the core hypothesis is validated. This section exists so that sequencing decision is visible and revisitable rather than silently permanent.</w:t>
      </w:r>
    </w:p>
    <w:p>
      <w:pPr>
        <w:pStyle w:val="Heading1"/>
        <w:spacing w:after="160" w:before="360"/>
      </w:pPr>
      <w:r>
        <w:t xml:space="preserve">67. MVP User Journey</w:t>
      </w:r>
    </w:p>
    <w:p>
      <w:pPr>
        <w:spacing w:after="140"/>
      </w:pPr>
      <w:r>
        <w:t xml:space="preserve">Landing (“FlowSight shows what happens next”) → Sign Up → Onboarding (choose Manual / CSV) → Add financial data (balance, income, bills) → Safety buffer → First forecast (“You're safe through Aug 18”) → Dashboard (status, Safe to Spend, forecast, upcoming events) → Understand (“Why does my balance drop?”) → Scenario (“What if I spend $1,200?”) → Decision (Safe / Watch / Risk) → Return later (forecast updated; alerts only when meaningful).</w:t>
      </w:r>
    </w:p>
    <w:p>
      <w:pPr>
        <w:pStyle w:val="Heading1"/>
        <w:spacing w:after="160" w:before="360"/>
      </w:pPr>
      <w:r>
        <w:t xml:space="preserve">68. MVP Functional Acceptance Criteria</w:t>
      </w:r>
    </w:p>
    <w:p>
      <w:pPr>
        <w:spacing w:after="140"/>
      </w:pPr>
      <w:r>
        <w:t xml:space="preserve">The MVP should not be considered functionally complete until a new user can:</w:t>
      </w:r>
    </w:p>
    <w:p>
      <w:pPr>
        <w:pStyle w:val="ListParagraph"/>
        <w:numPr>
          <w:ilvl w:val="0"/>
          <w:numId w:val="2"/>
        </w:numPr>
        <w:spacing w:after="60"/>
      </w:pPr>
      <w:r>
        <w:t xml:space="preserve">Create an account</w:t>
      </w:r>
    </w:p>
    <w:p>
      <w:pPr>
        <w:pStyle w:val="ListParagraph"/>
        <w:numPr>
          <w:ilvl w:val="0"/>
          <w:numId w:val="2"/>
        </w:numPr>
        <w:spacing w:after="60"/>
      </w:pPr>
      <w:r>
        <w:t xml:space="preserve">Complete onboarding without connecting a bank</w:t>
      </w:r>
    </w:p>
    <w:p>
      <w:pPr>
        <w:pStyle w:val="ListParagraph"/>
        <w:numPr>
          <w:ilvl w:val="0"/>
          <w:numId w:val="2"/>
        </w:numPr>
        <w:spacing w:after="60"/>
      </w:pPr>
      <w:r>
        <w:t xml:space="preserve">Enter a current balance</w:t>
      </w:r>
    </w:p>
    <w:p>
      <w:pPr>
        <w:pStyle w:val="ListParagraph"/>
        <w:numPr>
          <w:ilvl w:val="0"/>
          <w:numId w:val="2"/>
        </w:numPr>
        <w:spacing w:after="60"/>
      </w:pPr>
      <w:r>
        <w:t xml:space="preserve">Add recurring income</w:t>
      </w:r>
    </w:p>
    <w:p>
      <w:pPr>
        <w:pStyle w:val="ListParagraph"/>
        <w:numPr>
          <w:ilvl w:val="0"/>
          <w:numId w:val="2"/>
        </w:numPr>
        <w:spacing w:after="60"/>
      </w:pPr>
      <w:r>
        <w:t xml:space="preserve">Add recurring bills</w:t>
      </w:r>
    </w:p>
    <w:p>
      <w:pPr>
        <w:pStyle w:val="ListParagraph"/>
        <w:numPr>
          <w:ilvl w:val="0"/>
          <w:numId w:val="2"/>
        </w:numPr>
        <w:spacing w:after="60"/>
      </w:pPr>
      <w:r>
        <w:t xml:space="preserve">Set a safety buffer</w:t>
      </w:r>
    </w:p>
    <w:p>
      <w:pPr>
        <w:pStyle w:val="ListParagraph"/>
        <w:numPr>
          <w:ilvl w:val="0"/>
          <w:numId w:val="2"/>
        </w:numPr>
        <w:spacing w:after="60"/>
      </w:pPr>
      <w:r>
        <w:t xml:space="preserve">Generate a 30-day forecast</w:t>
      </w:r>
    </w:p>
    <w:p>
      <w:pPr>
        <w:pStyle w:val="ListParagraph"/>
        <w:numPr>
          <w:ilvl w:val="0"/>
          <w:numId w:val="2"/>
        </w:numPr>
        <w:spacing w:after="60"/>
      </w:pPr>
      <w:r>
        <w:t xml:space="preserve">See projected daily balances</w:t>
      </w:r>
    </w:p>
    <w:p>
      <w:pPr>
        <w:pStyle w:val="ListParagraph"/>
        <w:numPr>
          <w:ilvl w:val="0"/>
          <w:numId w:val="2"/>
        </w:numPr>
        <w:spacing w:after="60"/>
      </w:pPr>
      <w:r>
        <w:t xml:space="preserve">See their lowest projected balance</w:t>
      </w:r>
    </w:p>
    <w:p>
      <w:pPr>
        <w:pStyle w:val="ListParagraph"/>
        <w:numPr>
          <w:ilvl w:val="0"/>
          <w:numId w:val="2"/>
        </w:numPr>
        <w:spacing w:after="60"/>
      </w:pPr>
      <w:r>
        <w:t xml:space="preserve">See Safe to Spend</w:t>
      </w:r>
    </w:p>
    <w:p>
      <w:pPr>
        <w:pStyle w:val="ListParagraph"/>
        <w:numPr>
          <w:ilvl w:val="0"/>
          <w:numId w:val="2"/>
        </w:numPr>
        <w:spacing w:after="60"/>
      </w:pPr>
      <w:r>
        <w:t xml:space="preserve">Understand why the lowest point occurs</w:t>
      </w:r>
    </w:p>
    <w:p>
      <w:pPr>
        <w:pStyle w:val="ListParagraph"/>
        <w:numPr>
          <w:ilvl w:val="0"/>
          <w:numId w:val="2"/>
        </w:numPr>
        <w:spacing w:after="60"/>
      </w:pPr>
      <w:r>
        <w:t xml:space="preserve">Add/edit/delete financial data</w:t>
      </w:r>
    </w:p>
    <w:p>
      <w:pPr>
        <w:pStyle w:val="ListParagraph"/>
        <w:numPr>
          <w:ilvl w:val="0"/>
          <w:numId w:val="2"/>
        </w:numPr>
        <w:spacing w:after="60"/>
      </w:pPr>
      <w:r>
        <w:t xml:space="preserve">Import a supported CSV</w:t>
      </w:r>
    </w:p>
    <w:p>
      <w:pPr>
        <w:pStyle w:val="ListParagraph"/>
        <w:numPr>
          <w:ilvl w:val="0"/>
          <w:numId w:val="2"/>
        </w:numPr>
        <w:spacing w:after="60"/>
      </w:pPr>
      <w:r>
        <w:t xml:space="preserve">Run a one-time expense scenario</w:t>
      </w:r>
    </w:p>
    <w:p>
      <w:pPr>
        <w:pStyle w:val="ListParagraph"/>
        <w:numPr>
          <w:ilvl w:val="0"/>
          <w:numId w:val="2"/>
        </w:numPr>
        <w:spacing w:after="60"/>
      </w:pPr>
      <w:r>
        <w:t xml:space="preserve">Move an event in a scenario</w:t>
      </w:r>
    </w:p>
    <w:p>
      <w:pPr>
        <w:pStyle w:val="ListParagraph"/>
        <w:numPr>
          <w:ilvl w:val="0"/>
          <w:numId w:val="2"/>
        </w:numPr>
        <w:spacing w:after="60"/>
      </w:pPr>
      <w:r>
        <w:t xml:space="preserve">Add hypothetical income</w:t>
      </w:r>
    </w:p>
    <w:p>
      <w:pPr>
        <w:pStyle w:val="ListParagraph"/>
        <w:numPr>
          <w:ilvl w:val="0"/>
          <w:numId w:val="2"/>
        </w:numPr>
        <w:spacing w:after="60"/>
      </w:pPr>
      <w:r>
        <w:t xml:space="preserve">Compare baseline versus scenario</w:t>
      </w:r>
    </w:p>
    <w:p>
      <w:pPr>
        <w:pStyle w:val="ListParagraph"/>
        <w:numPr>
          <w:ilvl w:val="0"/>
          <w:numId w:val="2"/>
        </w:numPr>
        <w:spacing w:after="60"/>
      </w:pPr>
      <w:r>
        <w:t xml:space="preserve">Receive meaningful forecast warnings</w:t>
      </w:r>
    </w:p>
    <w:p>
      <w:pPr>
        <w:pStyle w:val="ListParagraph"/>
        <w:numPr>
          <w:ilvl w:val="0"/>
          <w:numId w:val="2"/>
        </w:numPr>
        <w:spacing w:after="60"/>
      </w:pPr>
      <w:r>
        <w:t xml:space="preserve">Use the core product on mobile</w:t>
      </w:r>
    </w:p>
    <w:p>
      <w:pPr>
        <w:pStyle w:val="ListParagraph"/>
        <w:numPr>
          <w:ilvl w:val="0"/>
          <w:numId w:val="2"/>
        </w:numPr>
        <w:spacing w:after="60"/>
      </w:pPr>
      <w:r>
        <w:t xml:space="preserve">Understand which information is confirmed versus estimated</w:t>
      </w:r>
    </w:p>
    <w:p>
      <w:pPr>
        <w:pStyle w:val="Heading1"/>
        <w:spacing w:after="160" w:before="360"/>
      </w:pPr>
      <w:r>
        <w:t xml:space="preserve">69. Primary Validation Questions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B1220" w:val="clear"/>
            <w:tcMar>
              <w:top w:type="dxa" w:w="80"/>
              <w:left w:type="dxa" w:w="100"/>
              <w:bottom w:type="dxa" w:w="80"/>
              <w:right w:type="dxa" w:w="100"/>
            </w:tcMar>
            <w:vAlign w:val="center"/>
          </w:tcPr>
          <w:p>
            <w:r>
              <w:rPr>
                <w:b/>
                <w:bCs/>
                <w:color w:val="FFFFFF"/>
                <w:sz w:val="20"/>
                <w:szCs w:val="20"/>
              </w:rPr>
              <w:t xml:space="preserve">Gate</w:t>
            </w:r>
          </w:p>
        </w:tc>
        <w:tc>
          <w:tcPr>
            <w:tcW w:type="dxa" w:w="6300"/>
            <w:shd w:fill="0B1220" w:val="clear"/>
            <w:tcMar>
              <w:top w:type="dxa" w:w="80"/>
              <w:left w:type="dxa" w:w="100"/>
              <w:bottom w:type="dxa" w:w="80"/>
              <w:right w:type="dxa" w:w="100"/>
            </w:tcMar>
            <w:vAlign w:val="center"/>
          </w:tcPr>
          <w:p>
            <w:r>
              <w:rPr>
                <w:b/>
                <w:bCs/>
                <w:color w:val="FFFFFF"/>
                <w:sz w:val="20"/>
                <w:szCs w:val="20"/>
              </w:rPr>
              <w:t xml:space="preserve">Question</w:t>
            </w:r>
          </w:p>
        </w:tc>
      </w:tr>
      <w:tr>
        <w:tc>
          <w:tcPr>
            <w:tcW w:type="dxa" w:w="3200"/>
            <w:tcMar>
              <w:top w:type="dxa" w:w="80"/>
              <w:left w:type="dxa" w:w="100"/>
              <w:bottom w:type="dxa" w:w="80"/>
              <w:right w:type="dxa" w:w="100"/>
            </w:tcMar>
          </w:tcPr>
          <w:p>
            <w:r>
              <w:rPr>
                <w:sz w:val="20"/>
                <w:szCs w:val="20"/>
              </w:rPr>
              <w:t xml:space="preserve">Comprehension</w:t>
            </w:r>
          </w:p>
        </w:tc>
        <w:tc>
          <w:tcPr>
            <w:tcW w:type="dxa" w:w="6300"/>
            <w:tcMar>
              <w:top w:type="dxa" w:w="80"/>
              <w:left w:type="dxa" w:w="100"/>
              <w:bottom w:type="dxa" w:w="80"/>
              <w:right w:type="dxa" w:w="100"/>
            </w:tcMar>
          </w:tcPr>
          <w:p>
            <w:r>
              <w:rPr>
                <w:sz w:val="20"/>
                <w:szCs w:val="20"/>
              </w:rPr>
              <w:t xml:space="preserve">Do users understand the forecast?</w:t>
            </w:r>
          </w:p>
        </w:tc>
      </w:tr>
      <w:tr>
        <w:tc>
          <w:tcPr>
            <w:tcW w:type="dxa" w:w="3200"/>
            <w:tcMar>
              <w:top w:type="dxa" w:w="80"/>
              <w:left w:type="dxa" w:w="100"/>
              <w:bottom w:type="dxa" w:w="80"/>
              <w:right w:type="dxa" w:w="100"/>
            </w:tcMar>
          </w:tcPr>
          <w:p>
            <w:r>
              <w:rPr>
                <w:sz w:val="20"/>
                <w:szCs w:val="20"/>
              </w:rPr>
              <w:t xml:space="preserve">Trust</w:t>
            </w:r>
          </w:p>
        </w:tc>
        <w:tc>
          <w:tcPr>
            <w:tcW w:type="dxa" w:w="6300"/>
            <w:tcMar>
              <w:top w:type="dxa" w:w="80"/>
              <w:left w:type="dxa" w:w="100"/>
              <w:bottom w:type="dxa" w:w="80"/>
              <w:right w:type="dxa" w:w="100"/>
            </w:tcMar>
          </w:tcPr>
          <w:p>
            <w:r>
              <w:rPr>
                <w:sz w:val="20"/>
                <w:szCs w:val="20"/>
              </w:rPr>
              <w:t xml:space="preserve">Do users believe and understand how it was calculated?</w:t>
            </w:r>
          </w:p>
        </w:tc>
      </w:tr>
      <w:tr>
        <w:tc>
          <w:tcPr>
            <w:tcW w:type="dxa" w:w="3200"/>
            <w:tcMar>
              <w:top w:type="dxa" w:w="80"/>
              <w:left w:type="dxa" w:w="100"/>
              <w:bottom w:type="dxa" w:w="80"/>
              <w:right w:type="dxa" w:w="100"/>
            </w:tcMar>
          </w:tcPr>
          <w:p>
            <w:r>
              <w:rPr>
                <w:sz w:val="20"/>
                <w:szCs w:val="20"/>
              </w:rPr>
              <w:t xml:space="preserve">Behavior</w:t>
            </w:r>
          </w:p>
        </w:tc>
        <w:tc>
          <w:tcPr>
            <w:tcW w:type="dxa" w:w="6300"/>
            <w:tcMar>
              <w:top w:type="dxa" w:w="80"/>
              <w:left w:type="dxa" w:w="100"/>
              <w:bottom w:type="dxa" w:w="80"/>
              <w:right w:type="dxa" w:w="100"/>
            </w:tcMar>
          </w:tcPr>
          <w:p>
            <w:r>
              <w:rPr>
                <w:sz w:val="20"/>
                <w:szCs w:val="20"/>
              </w:rPr>
              <w:t xml:space="preserve">Do users return to check it?</w:t>
            </w:r>
          </w:p>
        </w:tc>
      </w:tr>
      <w:tr>
        <w:tc>
          <w:tcPr>
            <w:tcW w:type="dxa" w:w="3200"/>
            <w:tcMar>
              <w:top w:type="dxa" w:w="80"/>
              <w:left w:type="dxa" w:w="100"/>
              <w:bottom w:type="dxa" w:w="80"/>
              <w:right w:type="dxa" w:w="100"/>
            </w:tcMar>
          </w:tcPr>
          <w:p>
            <w:r>
              <w:rPr>
                <w:sz w:val="20"/>
                <w:szCs w:val="20"/>
              </w:rPr>
              <w:t xml:space="preserve">Decisions</w:t>
            </w:r>
          </w:p>
        </w:tc>
        <w:tc>
          <w:tcPr>
            <w:tcW w:type="dxa" w:w="6300"/>
            <w:tcMar>
              <w:top w:type="dxa" w:w="80"/>
              <w:left w:type="dxa" w:w="100"/>
              <w:bottom w:type="dxa" w:w="80"/>
              <w:right w:type="dxa" w:w="100"/>
            </w:tcMar>
          </w:tcPr>
          <w:p>
            <w:r>
              <w:rPr>
                <w:sz w:val="20"/>
                <w:szCs w:val="20"/>
              </w:rPr>
              <w:t xml:space="preserve">Does Scenario Planner influence actual financial decisions?</w:t>
            </w:r>
          </w:p>
        </w:tc>
      </w:tr>
      <w:tr>
        <w:tc>
          <w:tcPr>
            <w:tcW w:type="dxa" w:w="3200"/>
            <w:tcMar>
              <w:top w:type="dxa" w:w="80"/>
              <w:left w:type="dxa" w:w="100"/>
              <w:bottom w:type="dxa" w:w="80"/>
              <w:right w:type="dxa" w:w="100"/>
            </w:tcMar>
          </w:tcPr>
          <w:p>
            <w:r>
              <w:rPr>
                <w:sz w:val="20"/>
                <w:szCs w:val="20"/>
              </w:rPr>
              <w:t xml:space="preserve">Alerts</w:t>
            </w:r>
          </w:p>
        </w:tc>
        <w:tc>
          <w:tcPr>
            <w:tcW w:type="dxa" w:w="6300"/>
            <w:tcMar>
              <w:top w:type="dxa" w:w="80"/>
              <w:left w:type="dxa" w:w="100"/>
              <w:bottom w:type="dxa" w:w="80"/>
              <w:right w:type="dxa" w:w="100"/>
            </w:tcMar>
          </w:tcPr>
          <w:p>
            <w:r>
              <w:rPr>
                <w:sz w:val="20"/>
                <w:szCs w:val="20"/>
              </w:rPr>
              <w:t xml:space="preserve">Are warnings useful rather than annoying?</w:t>
            </w:r>
          </w:p>
        </w:tc>
      </w:tr>
      <w:tr>
        <w:tc>
          <w:tcPr>
            <w:tcW w:type="dxa" w:w="3200"/>
            <w:tcMar>
              <w:top w:type="dxa" w:w="80"/>
              <w:left w:type="dxa" w:w="100"/>
              <w:bottom w:type="dxa" w:w="80"/>
              <w:right w:type="dxa" w:w="100"/>
            </w:tcMar>
          </w:tcPr>
          <w:p>
            <w:r>
              <w:rPr>
                <w:sz w:val="20"/>
                <w:szCs w:val="20"/>
              </w:rPr>
              <w:t xml:space="preserve">Willingness to Pay</w:t>
            </w:r>
          </w:p>
        </w:tc>
        <w:tc>
          <w:tcPr>
            <w:tcW w:type="dxa" w:w="6300"/>
            <w:tcMar>
              <w:top w:type="dxa" w:w="80"/>
              <w:left w:type="dxa" w:w="100"/>
              <w:bottom w:type="dxa" w:w="80"/>
              <w:right w:type="dxa" w:w="100"/>
            </w:tcMar>
          </w:tcPr>
          <w:p>
            <w:r>
              <w:rPr>
                <w:sz w:val="20"/>
                <w:szCs w:val="20"/>
              </w:rPr>
              <w:t xml:space="preserve">Is forward-looking financial clarity valuable enough to justify a subscription?</w:t>
            </w:r>
          </w:p>
        </w:tc>
      </w:tr>
    </w:tbl>
    <w:p>
      <w:pPr>
        <w:spacing w:after="140"/>
      </w:pPr>
      <w:r>
        <w:t xml:space="preserve">The PRD explicitly identifies forecast understanding, repeat usage, and willingness to pay as validation gates before major bank-sync investment.</w:t>
      </w:r>
    </w:p>
    <w:p>
      <w:pPr>
        <w:pStyle w:val="Heading1"/>
        <w:spacing w:after="160" w:before="360"/>
      </w:pPr>
      <w:r>
        <w:t xml:space="preserve">70. Functional Build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0B1220" w:val="clear"/>
            <w:tcMar>
              <w:top w:type="dxa" w:w="80"/>
              <w:left w:type="dxa" w:w="100"/>
              <w:bottom w:type="dxa" w:w="80"/>
              <w:right w:type="dxa" w:w="100"/>
            </w:tcMar>
            <w:vAlign w:val="center"/>
          </w:tcPr>
          <w:p>
            <w:r>
              <w:rPr>
                <w:b/>
                <w:bCs/>
                <w:color w:val="FFFFFF"/>
                <w:sz w:val="20"/>
                <w:szCs w:val="20"/>
              </w:rPr>
              <w:t xml:space="preserve">Milestone</w:t>
            </w:r>
          </w:p>
        </w:tc>
        <w:tc>
          <w:tcPr>
            <w:tcW w:type="dxa" w:w="6500"/>
            <w:shd w:fill="0B1220" w:val="clear"/>
            <w:tcMar>
              <w:top w:type="dxa" w:w="80"/>
              <w:left w:type="dxa" w:w="100"/>
              <w:bottom w:type="dxa" w:w="80"/>
              <w:right w:type="dxa" w:w="100"/>
            </w:tcMar>
            <w:vAlign w:val="center"/>
          </w:tcPr>
          <w:p>
            <w:r>
              <w:rPr>
                <w:b/>
                <w:bCs/>
                <w:color w:val="FFFFFF"/>
                <w:sz w:val="20"/>
                <w:szCs w:val="20"/>
              </w:rPr>
              <w:t xml:space="preserve">Scope</w:t>
            </w:r>
          </w:p>
        </w:tc>
      </w:tr>
      <w:tr>
        <w:tc>
          <w:tcPr>
            <w:tcW w:type="dxa" w:w="3000"/>
            <w:tcMar>
              <w:top w:type="dxa" w:w="80"/>
              <w:left w:type="dxa" w:w="100"/>
              <w:bottom w:type="dxa" w:w="80"/>
              <w:right w:type="dxa" w:w="100"/>
            </w:tcMar>
          </w:tcPr>
          <w:p>
            <w:r>
              <w:rPr>
                <w:sz w:val="20"/>
                <w:szCs w:val="20"/>
              </w:rPr>
              <w:t xml:space="preserve">1 — Frontend Foundation</w:t>
            </w:r>
          </w:p>
        </w:tc>
        <w:tc>
          <w:tcPr>
            <w:tcW w:type="dxa" w:w="6500"/>
            <w:tcMar>
              <w:top w:type="dxa" w:w="80"/>
              <w:left w:type="dxa" w:w="100"/>
              <w:bottom w:type="dxa" w:w="80"/>
              <w:right w:type="dxa" w:w="100"/>
            </w:tcMar>
          </w:tcPr>
          <w:p>
            <w:r>
              <w:rPr>
                <w:sz w:val="20"/>
                <w:szCs w:val="20"/>
              </w:rPr>
              <w:t xml:space="preserve">Figma visual parity; landing; auth; shared design system; responsive shell</w:t>
            </w:r>
          </w:p>
        </w:tc>
      </w:tr>
      <w:tr>
        <w:tc>
          <w:tcPr>
            <w:tcW w:type="dxa" w:w="3000"/>
            <w:tcMar>
              <w:top w:type="dxa" w:w="80"/>
              <w:left w:type="dxa" w:w="100"/>
              <w:bottom w:type="dxa" w:w="80"/>
              <w:right w:type="dxa" w:w="100"/>
            </w:tcMar>
          </w:tcPr>
          <w:p>
            <w:r>
              <w:rPr>
                <w:sz w:val="20"/>
                <w:szCs w:val="20"/>
              </w:rPr>
              <w:t xml:space="preserve">2 — Onboarding</w:t>
            </w:r>
          </w:p>
        </w:tc>
        <w:tc>
          <w:tcPr>
            <w:tcW w:type="dxa" w:w="6500"/>
            <w:tcMar>
              <w:top w:type="dxa" w:w="80"/>
              <w:left w:type="dxa" w:w="100"/>
              <w:bottom w:type="dxa" w:w="80"/>
              <w:right w:type="dxa" w:w="100"/>
            </w:tcMar>
          </w:tcPr>
          <w:p>
            <w:r>
              <w:rPr>
                <w:sz w:val="20"/>
                <w:szCs w:val="20"/>
              </w:rPr>
              <w:t xml:space="preserve">Manual path; account/balance; income; bills; safety buffer</w:t>
            </w:r>
          </w:p>
        </w:tc>
      </w:tr>
      <w:tr>
        <w:tc>
          <w:tcPr>
            <w:tcW w:type="dxa" w:w="3000"/>
            <w:tcMar>
              <w:top w:type="dxa" w:w="80"/>
              <w:left w:type="dxa" w:w="100"/>
              <w:bottom w:type="dxa" w:w="80"/>
              <w:right w:type="dxa" w:w="100"/>
            </w:tcMar>
          </w:tcPr>
          <w:p>
            <w:r>
              <w:rPr>
                <w:sz w:val="20"/>
                <w:szCs w:val="20"/>
              </w:rPr>
              <w:t xml:space="preserve">3 — Core Forecast</w:t>
            </w:r>
          </w:p>
        </w:tc>
        <w:tc>
          <w:tcPr>
            <w:tcW w:type="dxa" w:w="6500"/>
            <w:tcMar>
              <w:top w:type="dxa" w:w="80"/>
              <w:left w:type="dxa" w:w="100"/>
              <w:bottom w:type="dxa" w:w="80"/>
              <w:right w:type="dxa" w:w="100"/>
            </w:tcMar>
          </w:tcPr>
          <w:p>
            <w:r>
              <w:rPr>
                <w:sz w:val="20"/>
                <w:szCs w:val="20"/>
              </w:rPr>
              <w:t xml:space="preserve">Recurring generation; daily simulation; lowest balance; Safe to Spend; status; explanations</w:t>
            </w:r>
          </w:p>
        </w:tc>
      </w:tr>
      <w:tr>
        <w:tc>
          <w:tcPr>
            <w:tcW w:type="dxa" w:w="3000"/>
            <w:tcMar>
              <w:top w:type="dxa" w:w="80"/>
              <w:left w:type="dxa" w:w="100"/>
              <w:bottom w:type="dxa" w:w="80"/>
              <w:right w:type="dxa" w:w="100"/>
            </w:tcMar>
          </w:tcPr>
          <w:p>
            <w:r>
              <w:rPr>
                <w:sz w:val="20"/>
                <w:szCs w:val="20"/>
              </w:rPr>
              <w:t xml:space="preserve">4 — Dashboard</w:t>
            </w:r>
          </w:p>
        </w:tc>
        <w:tc>
          <w:tcPr>
            <w:tcW w:type="dxa" w:w="6500"/>
            <w:tcMar>
              <w:top w:type="dxa" w:w="80"/>
              <w:left w:type="dxa" w:w="100"/>
              <w:bottom w:type="dxa" w:w="80"/>
              <w:right w:type="dxa" w:w="100"/>
            </w:tcMar>
          </w:tcPr>
          <w:p>
            <w:r>
              <w:rPr>
                <w:sz w:val="20"/>
                <w:szCs w:val="20"/>
              </w:rPr>
              <w:t xml:space="preserve">Replace all mock values with actual forecast results</w:t>
            </w:r>
          </w:p>
        </w:tc>
      </w:tr>
      <w:tr>
        <w:tc>
          <w:tcPr>
            <w:tcW w:type="dxa" w:w="3000"/>
            <w:tcMar>
              <w:top w:type="dxa" w:w="80"/>
              <w:left w:type="dxa" w:w="100"/>
              <w:bottom w:type="dxa" w:w="80"/>
              <w:right w:type="dxa" w:w="100"/>
            </w:tcMar>
          </w:tcPr>
          <w:p>
            <w:r>
              <w:rPr>
                <w:sz w:val="20"/>
                <w:szCs w:val="20"/>
              </w:rPr>
              <w:t xml:space="preserve">5 — Transactions + CSV</w:t>
            </w:r>
          </w:p>
        </w:tc>
        <w:tc>
          <w:tcPr>
            <w:tcW w:type="dxa" w:w="6500"/>
            <w:tcMar>
              <w:top w:type="dxa" w:w="80"/>
              <w:left w:type="dxa" w:w="100"/>
              <w:bottom w:type="dxa" w:w="80"/>
              <w:right w:type="dxa" w:w="100"/>
            </w:tcMar>
          </w:tcPr>
          <w:p>
            <w:r>
              <w:rPr>
                <w:sz w:val="20"/>
                <w:szCs w:val="20"/>
              </w:rPr>
              <w:t xml:space="preserve">CRUD; import; mapping; validation; recurring suggestions</w:t>
            </w:r>
          </w:p>
        </w:tc>
      </w:tr>
      <w:tr>
        <w:tc>
          <w:tcPr>
            <w:tcW w:type="dxa" w:w="3000"/>
            <w:tcMar>
              <w:top w:type="dxa" w:w="80"/>
              <w:left w:type="dxa" w:w="100"/>
              <w:bottom w:type="dxa" w:w="80"/>
              <w:right w:type="dxa" w:w="100"/>
            </w:tcMar>
          </w:tcPr>
          <w:p>
            <w:r>
              <w:rPr>
                <w:sz w:val="20"/>
                <w:szCs w:val="20"/>
              </w:rPr>
              <w:t xml:space="preserve">6 — Scenario Planner</w:t>
            </w:r>
          </w:p>
        </w:tc>
        <w:tc>
          <w:tcPr>
            <w:tcW w:type="dxa" w:w="6500"/>
            <w:tcMar>
              <w:top w:type="dxa" w:w="80"/>
              <w:left w:type="dxa" w:w="100"/>
              <w:bottom w:type="dxa" w:w="80"/>
              <w:right w:type="dxa" w:w="100"/>
            </w:tcMar>
          </w:tcPr>
          <w:p>
            <w:r>
              <w:rPr>
                <w:sz w:val="20"/>
                <w:szCs w:val="20"/>
              </w:rPr>
              <w:t xml:space="preserve">Expense; income; move event; comparison</w:t>
            </w:r>
          </w:p>
        </w:tc>
      </w:tr>
      <w:tr>
        <w:tc>
          <w:tcPr>
            <w:tcW w:type="dxa" w:w="3000"/>
            <w:tcMar>
              <w:top w:type="dxa" w:w="80"/>
              <w:left w:type="dxa" w:w="100"/>
              <w:bottom w:type="dxa" w:w="80"/>
              <w:right w:type="dxa" w:w="100"/>
            </w:tcMar>
          </w:tcPr>
          <w:p>
            <w:r>
              <w:rPr>
                <w:sz w:val="20"/>
                <w:szCs w:val="20"/>
              </w:rPr>
              <w:t xml:space="preserve">7 — Alerts</w:t>
            </w:r>
          </w:p>
        </w:tc>
        <w:tc>
          <w:tcPr>
            <w:tcW w:type="dxa" w:w="6500"/>
            <w:tcMar>
              <w:top w:type="dxa" w:w="80"/>
              <w:left w:type="dxa" w:w="100"/>
              <w:bottom w:type="dxa" w:w="80"/>
              <w:right w:type="dxa" w:w="100"/>
            </w:tcMar>
          </w:tcPr>
          <w:p>
            <w:r>
              <w:rPr>
                <w:sz w:val="20"/>
                <w:szCs w:val="20"/>
              </w:rPr>
              <w:t xml:space="preserve">Forecast-derived actionable warnings</w:t>
            </w:r>
          </w:p>
        </w:tc>
      </w:tr>
      <w:tr>
        <w:tc>
          <w:tcPr>
            <w:tcW w:type="dxa" w:w="3000"/>
            <w:tcMar>
              <w:top w:type="dxa" w:w="80"/>
              <w:left w:type="dxa" w:w="100"/>
              <w:bottom w:type="dxa" w:w="80"/>
              <w:right w:type="dxa" w:w="100"/>
            </w:tcMar>
          </w:tcPr>
          <w:p>
            <w:r>
              <w:rPr>
                <w:sz w:val="20"/>
                <w:szCs w:val="20"/>
              </w:rPr>
              <w:t xml:space="preserve">8 — Settings + QA</w:t>
            </w:r>
          </w:p>
        </w:tc>
        <w:tc>
          <w:tcPr>
            <w:tcW w:type="dxa" w:w="6500"/>
            <w:tcMar>
              <w:top w:type="dxa" w:w="80"/>
              <w:left w:type="dxa" w:w="100"/>
              <w:bottom w:type="dxa" w:w="80"/>
              <w:right w:type="dxa" w:w="100"/>
            </w:tcMar>
          </w:tcPr>
          <w:p>
            <w:r>
              <w:rPr>
                <w:sz w:val="20"/>
                <w:szCs w:val="20"/>
              </w:rPr>
              <w:t xml:space="preserve">Profile; forecast settings; responsive QA; accessibility; error states; security review</w:t>
            </w:r>
          </w:p>
        </w:tc>
      </w:tr>
      <w:tr>
        <w:tc>
          <w:tcPr>
            <w:tcW w:type="dxa" w:w="3000"/>
            <w:tcMar>
              <w:top w:type="dxa" w:w="80"/>
              <w:left w:type="dxa" w:w="100"/>
              <w:bottom w:type="dxa" w:w="80"/>
              <w:right w:type="dxa" w:w="100"/>
            </w:tcMar>
          </w:tcPr>
          <w:p>
            <w:r>
              <w:rPr>
                <w:sz w:val="20"/>
                <w:szCs w:val="20"/>
              </w:rPr>
              <w:t xml:space="preserve">9 — Beta Validation</w:t>
            </w:r>
          </w:p>
        </w:tc>
        <w:tc>
          <w:tcPr>
            <w:tcW w:type="dxa" w:w="6500"/>
            <w:tcMar>
              <w:top w:type="dxa" w:w="80"/>
              <w:left w:type="dxa" w:w="100"/>
              <w:bottom w:type="dxa" w:w="80"/>
              <w:right w:type="dxa" w:w="100"/>
            </w:tcMar>
          </w:tcPr>
          <w:p>
            <w:r>
              <w:rPr>
                <w:sz w:val="20"/>
                <w:szCs w:val="20"/>
              </w:rPr>
              <w:t xml:space="preserve">Only after this should we decide whether to invest in Plaid</w:t>
            </w:r>
          </w:p>
        </w:tc>
      </w:tr>
    </w:tbl>
    <w:p>
      <w:pPr>
        <w:pStyle w:val="Heading1"/>
        <w:spacing w:after="160" w:before="360"/>
      </w:pPr>
      <w:r>
        <w:t xml:space="preserve">71. Final MVP Guardrail</w:t>
      </w:r>
    </w:p>
    <w:p>
      <w:pPr>
        <w:spacing w:after="140"/>
      </w:pPr>
      <w:r>
        <w:t xml:space="preserve">Before adding any feature, ask:</w:t>
      </w:r>
    </w:p>
    <w:p>
      <w:pPr>
        <w:pBdr>
          <w:left w:val="single" w:color="1DD8A0" w:sz="12" w:space="8"/>
        </w:pBdr>
        <w:spacing w:after="160" w:before="60"/>
        <w:ind w:left="360"/>
      </w:pPr>
      <w:r>
        <w:rPr>
          <w:i/>
          <w:iCs/>
          <w:color w:val="333333"/>
        </w:rPr>
        <w:t xml:space="preserve">Does this materially improve the user's ability to understand what will happen to their money next or make a better financial decision?</w:t>
      </w:r>
    </w:p>
    <w:p>
      <w:pPr>
        <w:spacing w:after="140"/>
      </w:pPr>
      <w:r>
        <w:t xml:space="preserve">If the answer is no, it probably does not belong in the MVP. The first build should prove this loop:</w:t>
      </w:r>
    </w:p>
    <w:p>
      <w:pPr>
        <w:pStyle w:val="ListParagraph"/>
        <w:numPr>
          <w:ilvl w:val="0"/>
          <w:numId w:val="2"/>
        </w:numPr>
        <w:spacing w:after="60"/>
      </w:pPr>
      <w:r>
        <w:t xml:space="preserve">Know where I am</w:t>
      </w:r>
    </w:p>
    <w:p>
      <w:pPr>
        <w:pStyle w:val="ListParagraph"/>
        <w:numPr>
          <w:ilvl w:val="0"/>
          <w:numId w:val="2"/>
        </w:numPr>
        <w:spacing w:after="60"/>
      </w:pPr>
      <w:r>
        <w:t xml:space="preserve">See what's coming</w:t>
      </w:r>
    </w:p>
    <w:p>
      <w:pPr>
        <w:pStyle w:val="ListParagraph"/>
        <w:numPr>
          <w:ilvl w:val="0"/>
          <w:numId w:val="2"/>
        </w:numPr>
        <w:spacing w:after="60"/>
      </w:pPr>
      <w:r>
        <w:t xml:space="preserve">Understand the risk</w:t>
      </w:r>
    </w:p>
    <w:p>
      <w:pPr>
        <w:pStyle w:val="ListParagraph"/>
        <w:numPr>
          <w:ilvl w:val="0"/>
          <w:numId w:val="2"/>
        </w:numPr>
        <w:spacing w:after="60"/>
      </w:pPr>
      <w:r>
        <w:t xml:space="preserve">Understand why</w:t>
      </w:r>
    </w:p>
    <w:p>
      <w:pPr>
        <w:pStyle w:val="ListParagraph"/>
        <w:numPr>
          <w:ilvl w:val="0"/>
          <w:numId w:val="2"/>
        </w:numPr>
        <w:spacing w:after="60"/>
      </w:pPr>
      <w:r>
        <w:t xml:space="preserve">Test a decision</w:t>
      </w:r>
    </w:p>
    <w:p>
      <w:pPr>
        <w:pStyle w:val="ListParagraph"/>
        <w:numPr>
          <w:ilvl w:val="0"/>
          <w:numId w:val="2"/>
        </w:numPr>
        <w:spacing w:after="60"/>
      </w:pPr>
      <w:r>
        <w:t xml:space="preserve">Act with confidence</w:t>
      </w:r>
    </w:p>
    <w:p>
      <w:pPr>
        <w:spacing w:after="140"/>
      </w:pPr>
      <w:r>
        <w:t xml:space="preserve">That should remain the functional backbone of FlowSight.</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Bricolage Grotesque" w:cs="Bricolage Grotesque" w:eastAsia="Bricolage Grotesque" w:hAnsi="Bricolage Grotesque"/>
      <w:b/>
      <w:bCs/>
      <w:color w:val="5573FF"/>
      <w:sz w:val="30"/>
      <w:szCs w:val="30"/>
    </w:rPr>
  </w:style>
  <w:style w:type="paragraph" w:styleId="Heading2">
    <w:name w:val="Heading 2"/>
    <w:basedOn w:val="Normal"/>
    <w:next w:val="Normal"/>
    <w:qFormat/>
    <w:pPr>
      <w:spacing w:after="120" w:before="240"/>
      <w:outlineLvl w:val="1"/>
    </w:pPr>
    <w:rPr>
      <w:rFonts w:ascii="Bricolage Grotesque" w:cs="Bricolage Grotesque" w:eastAsia="Bricolage Grotesque" w:hAnsi="Bricolage Grotesque"/>
      <w:b/>
      <w:bCs/>
      <w:color w:val="0B12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2026-07-19T23:15:51.772Z</dcterms:created>
  <dcterms:modified xsi:type="dcterms:W3CDTF">2026-07-19T23:15:51.784Z</dcterms:modified>
</cp:coreProperties>
</file>

<file path=docProps/custom.xml><?xml version="1.0" encoding="utf-8"?>
<Properties xmlns="http://schemas.openxmlformats.org/officeDocument/2006/custom-properties" xmlns:vt="http://schemas.openxmlformats.org/officeDocument/2006/docPropsVTypes"/>
</file>