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LLC İŞLETME SÖZLEŞMESİ</w:t>
      </w:r>
    </w:p>
    <w:p>
      <w:pPr>
        <w:spacing w:after="200"/>
        <w:jc w:val="center"/>
      </w:pPr>
      <w:r>
        <w:rPr>
          <w:i/>
          <w:iCs/>
        </w:rPr>
        <w:t xml:space="preserve">Tek Üyeli Limited Şirket (LLC)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pStyle w:val="Heading2"/>
        <w:spacing w:before="300" w:after="200"/>
      </w:pPr>
      <w:r>
        <w:t xml:space="preserve">MADDE I — KURULUŞ</w:t>
      </w:r>
    </w:p>
    <w:p>
      <w:pPr>
        <w:spacing w:after="200"/>
      </w:pPr>
      <w:r>
        <w:t xml:space="preserve">LLC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Kuruluş Eyaleti: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Kuruluş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EIN: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Ana Ofis Adresi: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Kayıtlı Temsilci Adı ve Adresi: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MADDE II — AMAÇ</w:t>
      </w:r>
    </w:p>
    <w:p>
      <w:pPr>
        <w:spacing w:after="120"/>
      </w:pPr>
      <w:r>
        <w:t xml:space="preserve">Şirket aşağıdaki amaçla kurulmuştur:</w:t>
      </w:r>
    </w:p>
    <w:p>
      <w:pPr>
        <w:spacing w:after="120"/>
      </w:pPr>
      <w:r>
        <w:rPr>
          <w:highlight w:val="yellow"/>
          <w:highlightCs w:val="yellow"/>
        </w:rPr>
        <w:t xml:space="preserve">[İş amacını açıklayın]</w:t>
      </w:r>
    </w:p>
    <w:p>
      <w:pPr>
        <w:pStyle w:val="Heading2"/>
        <w:spacing w:before="300" w:after="200"/>
      </w:pPr>
      <w:r>
        <w:t xml:space="preserve">MADDE III — ÜYE</w:t>
      </w:r>
    </w:p>
    <w:p>
      <w:pPr>
        <w:spacing w:after="200"/>
      </w:pPr>
      <w:r>
        <w:t xml:space="preserve">Üye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Üye Adresi: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Sahiplik Yüzdesi: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(Tek üyeli LLC için: %100)</w:t>
      </w:r>
    </w:p>
    <w:p>
      <w:pPr>
        <w:pStyle w:val="Heading2"/>
        <w:spacing w:before="300" w:after="200"/>
      </w:pPr>
      <w:r>
        <w:t xml:space="preserve">MADDE IV — SERMAYE KATKILARI</w:t>
      </w:r>
    </w:p>
    <w:p>
      <w:pPr>
        <w:spacing w:after="200"/>
      </w:pPr>
      <w:r>
        <w:t xml:space="preserve">Başlangıç Sermaye Katkısı: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Katkı Şekli (nakit, mülk, hizmet):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Ek katkılar Üyenin takdirine bağlı olarak yapılabilir.</w:t>
      </w:r>
    </w:p>
    <w:p>
      <w:pPr>
        <w:pStyle w:val="Heading2"/>
        <w:spacing w:before="300" w:after="200"/>
      </w:pPr>
      <w:r>
        <w:t xml:space="preserve">MADDE V — KAR VE ZARAR</w:t>
      </w:r>
    </w:p>
    <w:p>
      <w:pPr>
        <w:spacing w:after="120"/>
      </w:pPr>
      <w:r>
        <w:t xml:space="preserve">Tüm kar ve zararlar tek Üyeye tahsis edilecektir.</w:t>
      </w:r>
    </w:p>
    <w:p>
      <w:pPr>
        <w:spacing w:after="120"/>
      </w:pPr>
      <w:r>
        <w:t xml:space="preserve">Üye, iş operasyonları için yeterli rezervi korumak kaydıyla istediği zaman dağıtım alabilir.</w:t>
      </w:r>
    </w:p>
    <w:p>
      <w:pPr>
        <w:pStyle w:val="Heading2"/>
        <w:spacing w:before="300" w:after="200"/>
      </w:pPr>
      <w:r>
        <w:t xml:space="preserve">MADDE VI — YÖNETİM</w:t>
      </w:r>
    </w:p>
    <w:p>
      <w:pPr>
        <w:spacing w:after="120"/>
      </w:pPr>
      <w:r>
        <w:t xml:space="preserve">Şirket tek Üyesi tarafından yönetilecektir.</w:t>
      </w:r>
    </w:p>
    <w:p>
      <w:pPr>
        <w:spacing w:after="120"/>
      </w:pPr>
      <w:r>
        <w:t xml:space="preserve">Üye şu konularda tam yetkiye sahiptir:</w:t>
      </w:r>
    </w:p>
    <w:p>
      <w:pPr>
        <w:spacing w:after="120"/>
      </w:pPr>
      <w:r>
        <w:t xml:space="preserve">• Sözleşme ve anlaşma yapmak</w:t>
      </w:r>
    </w:p>
    <w:p>
      <w:pPr>
        <w:spacing w:after="120"/>
      </w:pPr>
      <w:r>
        <w:t xml:space="preserve">• Banka hesabı açmak ve yönetmek</w:t>
      </w:r>
    </w:p>
    <w:p>
      <w:pPr>
        <w:spacing w:after="120"/>
      </w:pPr>
      <w:r>
        <w:t xml:space="preserve">• Çalışan ve yüklenici istihdam etmek</w:t>
      </w:r>
    </w:p>
    <w:p>
      <w:pPr>
        <w:spacing w:after="120"/>
      </w:pPr>
      <w:r>
        <w:t xml:space="preserve">• Tüm iş kararlarını vermek</w:t>
      </w:r>
    </w:p>
    <w:p>
      <w:pPr>
        <w:pStyle w:val="Heading2"/>
        <w:spacing w:before="300" w:after="200"/>
      </w:pPr>
      <w:r>
        <w:t xml:space="preserve">MADDE VII — BANKACILIK</w:t>
      </w:r>
    </w:p>
    <w:p>
      <w:pPr>
        <w:spacing w:after="200"/>
      </w:pPr>
      <w:r>
        <w:t xml:space="preserve">Banka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Hesap Türü: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Üye çek imzalama ve bankacılık işlemleri yapma yetkisine sahiptir.</w:t>
      </w:r>
    </w:p>
    <w:p>
      <w:pPr>
        <w:pStyle w:val="Heading2"/>
        <w:spacing w:before="300" w:after="200"/>
      </w:pPr>
      <w:r>
        <w:t xml:space="preserve">MADDE VIII — VERGİLER</w:t>
      </w:r>
    </w:p>
    <w:p>
      <w:pPr>
        <w:spacing w:after="120"/>
      </w:pPr>
      <w:r>
        <w:t xml:space="preserve">Şirket, federal vergi amaçları açısından dikkate alınmayan bir kuruluş (disregarded entity) olarak işlem görecektir.</w:t>
      </w:r>
    </w:p>
    <w:p>
      <w:pPr>
        <w:spacing w:after="120"/>
      </w:pPr>
      <w:r>
        <w:t xml:space="preserve">Tüm gelir Üyenin kişisel vergi beyannamesi üzerinden bildirilecektir (Schedule C, Form 1040).</w:t>
      </w:r>
    </w:p>
    <w:p>
      <w:pPr>
        <w:pStyle w:val="Heading2"/>
        <w:spacing w:before="300" w:after="200"/>
      </w:pPr>
      <w:r>
        <w:t xml:space="preserve">MADDE IX — SORUMLULUK KORUMASI</w:t>
      </w:r>
    </w:p>
    <w:p>
      <w:pPr>
        <w:spacing w:after="120"/>
      </w:pPr>
      <w:r>
        <w:t xml:space="preserve">Üye, Şirketin borçlarından, yükümlülüklerinden veya taahhütlerinden kişisel olarak sorumlu olmayacaktır.</w:t>
      </w:r>
    </w:p>
    <w:p>
      <w:pPr>
        <w:spacing w:after="120"/>
      </w:pPr>
      <w:r>
        <w:t xml:space="preserve">Şirket, kişisel ve ticari finanslar arasındaki ayrımı koruyacaktır.</w:t>
      </w:r>
    </w:p>
    <w:p>
      <w:pPr>
        <w:pStyle w:val="Heading2"/>
        <w:spacing w:before="300" w:after="200"/>
      </w:pPr>
      <w:r>
        <w:t xml:space="preserve">MADDE X — FESİH</w:t>
      </w:r>
    </w:p>
    <w:p>
      <w:pPr>
        <w:spacing w:after="120"/>
      </w:pPr>
      <w:r>
        <w:t xml:space="preserve">Şirket şu durumlarda feshedilebilir:</w:t>
      </w:r>
    </w:p>
    <w:p>
      <w:pPr>
        <w:spacing w:after="120"/>
      </w:pPr>
      <w:r>
        <w:t xml:space="preserve">• Üyenin yazılı kararıyla</w:t>
      </w:r>
    </w:p>
    <w:p>
      <w:pPr>
        <w:spacing w:after="120"/>
      </w:pPr>
      <w:r>
        <w:t xml:space="preserve">• Mahkeme kararıyla</w:t>
      </w:r>
    </w:p>
    <w:p>
      <w:pPr>
        <w:spacing w:after="120"/>
      </w:pPr>
      <w:r>
        <w:t xml:space="preserve">• Eyalet yasalarının gerektirdiği herhangi bir olayla</w:t>
      </w:r>
    </w:p>
    <w:p>
      <w:pPr>
        <w:spacing w:after="120"/>
      </w:pPr>
      <w:r>
        <w:t xml:space="preserve">Fesih halinde, tüm borç ve yükümlülükler ödendikten sonra varlıklar dağıtılacaktır.</w:t>
      </w:r>
    </w:p>
    <w:p>
      <w:pPr>
        <w:pStyle w:val="Heading2"/>
        <w:spacing w:before="300" w:after="200"/>
      </w:pPr>
      <w:r>
        <w:t xml:space="preserve">MADDE XI — DEĞİŞİKLİKLER</w:t>
      </w:r>
    </w:p>
    <w:p>
      <w:pPr>
        <w:spacing w:after="120"/>
      </w:pPr>
      <w:r>
        <w:t xml:space="preserve">Bu Sözleşme, Üye tarafından imzalanan yazılı bir belgeyle her zaman değiştirilebilir.</w:t>
      </w:r>
    </w:p>
    <w:p>
      <w:pPr>
        <w:pStyle w:val="Heading2"/>
        <w:spacing w:before="300" w:after="200"/>
      </w:pPr>
      <w:r>
        <w:t xml:space="preserve">İMZA</w:t>
      </w:r>
    </w:p>
    <w:p>
      <w:pPr>
        <w:spacing w:after="120"/>
      </w:pPr>
    </w:p>
    <w:p>
      <w:pPr>
        <w:spacing w:after="200"/>
      </w:pPr>
      <w:r>
        <w:t xml:space="preserve">Üye İmzası: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2026-01-31T23:36:32.191Z</dcterms:created>
  <dcterms:modified xsi:type="dcterms:W3CDTF">2026-01-31T23:36:32.191Z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