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0ACDA3D6"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922541" w:rsidRPr="0022613E">
        <w:rPr>
          <w:b/>
          <w:bCs/>
          <w:sz w:val="24"/>
        </w:rPr>
        <w:t>{</w:t>
      </w:r>
      <w:r w:rsidR="00045940" w:rsidRPr="0022613E">
        <w:rPr>
          <w:b/>
          <w:bCs/>
          <w:sz w:val="24"/>
        </w:rPr>
        <w:t>{nomeProprietario}</w:t>
      </w:r>
      <w:r w:rsidR="00922541" w:rsidRPr="0022613E">
        <w:rPr>
          <w:b/>
          <w:bCs/>
          <w:sz w:val="24"/>
        </w:rPr>
        <w:t>}</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82C3437"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77777777"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p>
        </w:tc>
        <w:tc>
          <w:tcPr>
            <w:tcW w:w="3039" w:type="dxa"/>
            <w:gridSpan w:val="2"/>
            <w:tcBorders>
              <w:top w:val="nil"/>
              <w:left w:val="nil"/>
              <w:bottom w:val="nil"/>
              <w:right w:val="nil"/>
            </w:tcBorders>
          </w:tcPr>
          <w:p w14:paraId="52403179" w14:textId="77777777"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{{cpf}}</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77777777"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w:t>
            </w:r>
            <w:proofErr w:type="spellStart"/>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roofErr w:type="spellEnd"/>
            <w:r w:rsidRPr="00AF4832">
              <w:rPr>
                <w:rFonts w:asciiTheme="minorHAnsi" w:hAnsiTheme="minorHAnsi" w:cstheme="minorHAnsi"/>
              </w:rPr>
              <w:t>}}</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77777777"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p>
          <w:p w14:paraId="3D493F75" w14:textId="66C9DA76"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7CDC22D7"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77777777"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64C833F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xml:space="preserve">{% for f in </w:t>
      </w:r>
      <w:proofErr w:type="spellStart"/>
      <w:proofErr w:type="gramStart"/>
      <w:r w:rsidRPr="001C7098">
        <w:rPr>
          <w:rFonts w:cstheme="minorHAnsi"/>
          <w:sz w:val="24"/>
          <w:szCs w:val="24"/>
          <w:lang w:val="en-US"/>
        </w:rPr>
        <w:t>fiadores</w:t>
      </w:r>
      <w:proofErr w:type="spellEnd"/>
      <w:r w:rsidRPr="001C7098">
        <w:rPr>
          <w:rFonts w:cstheme="minorHAnsi"/>
          <w:sz w:val="24"/>
          <w:szCs w:val="24"/>
          <w:lang w:val="en-US"/>
        </w:rPr>
        <w:t xml:space="preserve"> %}</w:t>
      </w:r>
      <w:proofErr w:type="gramEnd"/>
    </w:p>
    <w:p w14:paraId="5C266D53" w14:textId="77777777" w:rsidR="00576E2C" w:rsidRPr="001C7098" w:rsidRDefault="00576E2C" w:rsidP="00576E2C">
      <w:pPr>
        <w:tabs>
          <w:tab w:val="left" w:pos="2310"/>
        </w:tabs>
        <w:rPr>
          <w:rFonts w:cstheme="minorHAnsi"/>
          <w:sz w:val="24"/>
          <w:szCs w:val="24"/>
          <w:lang w:val="en-US"/>
        </w:rPr>
      </w:pPr>
      <w:proofErr w:type="gramStart"/>
      <w:r w:rsidRPr="001C7098">
        <w:rPr>
          <w:rFonts w:cstheme="minorHAnsi"/>
          <w:sz w:val="24"/>
          <w:szCs w:val="24"/>
          <w:lang w:val="en-US"/>
        </w:rPr>
        <w:t>{{ f</w:t>
      </w:r>
      <w:proofErr w:type="gramEnd"/>
      <w:r w:rsidRPr="001C7098">
        <w:rPr>
          <w:rFonts w:cstheme="minorHAnsi"/>
          <w:sz w:val="24"/>
          <w:szCs w:val="24"/>
          <w:lang w:val="en-US"/>
        </w:rPr>
        <w:t xml:space="preserve">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xml:space="preserve">{% </w:t>
      </w:r>
      <w:proofErr w:type="spellStart"/>
      <w:r w:rsidRPr="00A652BD">
        <w:rPr>
          <w:rFonts w:cstheme="minorHAnsi"/>
          <w:sz w:val="24"/>
          <w:szCs w:val="24"/>
          <w:lang w:val="en-US"/>
        </w:rPr>
        <w:t>endfor</w:t>
      </w:r>
      <w:proofErr w:type="spellEnd"/>
      <w:r w:rsidRPr="00A652BD">
        <w:rPr>
          <w:rFonts w:cstheme="minorHAnsi"/>
          <w:sz w:val="24"/>
          <w:szCs w:val="24"/>
          <w:lang w:val="en-US"/>
        </w:rPr>
        <w:t xml:space="preserve"> %}</w:t>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3932F9F3"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739194D7"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045940" w:rsidRPr="0022613E">
        <w:rPr>
          <w:bCs/>
          <w:sz w:val="24"/>
        </w:rPr>
        <w:t>{EnderecoImovel}</w:t>
      </w:r>
      <w:r w:rsidR="003772BB" w:rsidRPr="0022613E">
        <w:rPr>
          <w:bCs/>
          <w:sz w:val="24"/>
        </w:rPr>
        <w:t xml:space="preserve">} </w:t>
      </w:r>
      <w:r w:rsidR="00045940" w:rsidRPr="0022613E">
        <w:rPr>
          <w:bCs/>
          <w:sz w:val="24"/>
        </w:rPr>
        <w:t>,{</w:t>
      </w:r>
      <w:r w:rsidR="003772BB" w:rsidRPr="0022613E">
        <w:rPr>
          <w:bCs/>
          <w:sz w:val="24"/>
        </w:rPr>
        <w:t>{</w:t>
      </w:r>
      <w:r w:rsidR="00045940" w:rsidRPr="0022613E">
        <w:rPr>
          <w:bCs/>
          <w:sz w:val="24"/>
        </w:rPr>
        <w:t>CEPImovel}</w:t>
      </w:r>
      <w:r w:rsidR="003772BB" w:rsidRPr="0022613E">
        <w:rPr>
          <w:bCs/>
          <w:sz w:val="24"/>
        </w:rPr>
        <w:t>}</w:t>
      </w:r>
      <w:r w:rsidR="00045940" w:rsidRPr="0022613E">
        <w:rPr>
          <w:bCs/>
          <w:sz w:val="24"/>
        </w:rPr>
        <w:t>,{</w:t>
      </w:r>
      <w:r w:rsidR="003772BB" w:rsidRPr="0022613E">
        <w:rPr>
          <w:bCs/>
          <w:sz w:val="24"/>
        </w:rPr>
        <w:t>{</w:t>
      </w:r>
      <w:r w:rsidR="00045940" w:rsidRPr="0022613E">
        <w:rPr>
          <w:bCs/>
          <w:sz w:val="24"/>
        </w:rPr>
        <w:t>CidadeImovel}</w:t>
      </w:r>
      <w:r w:rsidR="003772BB" w:rsidRPr="0022613E">
        <w:rPr>
          <w:bCs/>
          <w:sz w:val="24"/>
        </w:rPr>
        <w:t>}</w:t>
      </w:r>
    </w:p>
    <w:p w14:paraId="6FCDDA4E" w14:textId="39CF0C45"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53A3BD3D"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151789C1"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r w:rsidR="000A7E72" w:rsidRPr="0022613E">
        <w:rPr>
          <w:bCs/>
          <w:sz w:val="24"/>
        </w:rPr>
        <w:t>}</w:t>
      </w:r>
    </w:p>
    <w:p w14:paraId="10ED39E7" w14:textId="4C1196D2"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w:t>
      </w:r>
      <w:r w:rsidR="000A7E72" w:rsidRPr="0022613E">
        <w:rPr>
          <w:bCs/>
          <w:spacing w:val="-2"/>
          <w:sz w:val="24"/>
        </w:rPr>
        <w:t>{</w:t>
      </w:r>
      <w:r w:rsidR="00045940" w:rsidRPr="0022613E">
        <w:rPr>
          <w:bCs/>
          <w:spacing w:val="-2"/>
          <w:sz w:val="24"/>
        </w:rPr>
        <w:t>CemigInstalacao}</w:t>
      </w:r>
      <w:r w:rsidR="000A7E72" w:rsidRPr="0022613E">
        <w:rPr>
          <w:bCs/>
          <w:spacing w:val="-2"/>
          <w:sz w:val="24"/>
        </w:rPr>
        <w:t>}</w:t>
      </w:r>
    </w:p>
    <w:p w14:paraId="77D30C29" w14:textId="30E6B101"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0A7E72" w:rsidRPr="0022613E">
        <w:rPr>
          <w:bCs/>
          <w:spacing w:val="-2"/>
          <w:sz w:val="24"/>
        </w:rPr>
        <w:t>{</w:t>
      </w:r>
      <w:r w:rsidR="00045940" w:rsidRPr="0022613E">
        <w:rPr>
          <w:bCs/>
          <w:spacing w:val="-2"/>
          <w:sz w:val="24"/>
        </w:rPr>
        <w:t>medidor}</w:t>
      </w:r>
      <w:r w:rsidR="000A7E72" w:rsidRPr="0022613E">
        <w:rPr>
          <w:bCs/>
          <w:spacing w:val="-2"/>
          <w:sz w:val="24"/>
        </w:rPr>
        <w:t>}</w:t>
      </w:r>
    </w:p>
    <w:p w14:paraId="76867867" w14:textId="1D010A97"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r w:rsidR="000A7E72" w:rsidRPr="0022613E">
        <w:rPr>
          <w:bCs/>
          <w:spacing w:val="-2"/>
          <w:sz w:val="24"/>
        </w:rPr>
        <w:t>}</w:t>
      </w:r>
    </w:p>
    <w:p w14:paraId="1FC5FCD5" w14:textId="03737682"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045940" w:rsidRPr="0022613E">
        <w:rPr>
          <w:bCs/>
          <w:spacing w:val="-2"/>
          <w:sz w:val="24"/>
        </w:rPr>
        <w:t>inscricaoIPTU}</w:t>
      </w:r>
      <w:r w:rsidR="000A7E72" w:rsidRPr="0022613E">
        <w:rPr>
          <w:bCs/>
          <w:spacing w:val="-2"/>
          <w:sz w:val="24"/>
        </w:rPr>
        <w:t>}</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60FF9A13"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w:t>
      </w:r>
      <w:r w:rsidR="000A7E72" w:rsidRPr="0022613E">
        <w:rPr>
          <w:b/>
          <w:sz w:val="25"/>
        </w:rPr>
        <w:t>{</w:t>
      </w:r>
      <w:r w:rsidR="00045940" w:rsidRPr="0022613E">
        <w:rPr>
          <w:b/>
          <w:sz w:val="25"/>
        </w:rPr>
        <w:t>dura</w:t>
      </w:r>
      <w:r w:rsidR="000A7E72" w:rsidRPr="0022613E">
        <w:rPr>
          <w:b/>
          <w:sz w:val="25"/>
        </w:rPr>
        <w:t>ca</w:t>
      </w:r>
      <w:r w:rsidR="00045940" w:rsidRPr="0022613E">
        <w:rPr>
          <w:b/>
          <w:sz w:val="25"/>
        </w:rPr>
        <w:t>o}</w:t>
      </w:r>
      <w:r w:rsidR="000A7E72" w:rsidRPr="0022613E">
        <w:rPr>
          <w:b/>
          <w:sz w:val="25"/>
        </w:rPr>
        <w:t>}</w:t>
      </w:r>
      <w:r w:rsidR="00045940" w:rsidRPr="0022613E">
        <w:rPr>
          <w:b/>
          <w:sz w:val="25"/>
        </w:rPr>
        <w:t xml:space="preserve"> </w:t>
      </w:r>
      <w:r w:rsidRPr="0022613E">
        <w:rPr>
          <w:b/>
          <w:sz w:val="25"/>
        </w:rPr>
        <w:t xml:space="preserve">, </w:t>
      </w:r>
      <w:r w:rsidRPr="0022613E">
        <w:rPr>
          <w:b/>
          <w:sz w:val="25"/>
          <w:u w:val="single"/>
        </w:rPr>
        <w:t xml:space="preserve">iniciando na data de </w:t>
      </w:r>
      <w:r w:rsidR="000A7E72" w:rsidRPr="0022613E">
        <w:rPr>
          <w:b/>
          <w:sz w:val="25"/>
          <w:u w:val="single"/>
        </w:rPr>
        <w:t>{</w:t>
      </w:r>
      <w:r w:rsidR="00045940" w:rsidRPr="0022613E">
        <w:rPr>
          <w:b/>
          <w:sz w:val="25"/>
          <w:u w:val="single"/>
        </w:rPr>
        <w:t>{dataInicio</w:t>
      </w:r>
      <w:r w:rsidR="00FC000A" w:rsidRPr="00C336BC">
        <w:rPr>
          <w:b/>
          <w:sz w:val="25"/>
          <w:u w:val="single"/>
        </w:rPr>
        <w:t>}</w:t>
      </w:r>
      <w:r w:rsidR="00E53279"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 xml:space="preserve">somente após a entrega, no caso de inadimplemento, </w:t>
      </w:r>
      <w:r w:rsidRPr="0022613E">
        <w:rPr>
          <w:sz w:val="25"/>
        </w:rPr>
        <w:lastRenderedPageBreak/>
        <w:t>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lastRenderedPageBreak/>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lastRenderedPageBreak/>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7185292F"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F82390">
        <w:rPr>
          <w:sz w:val="25"/>
        </w:rPr>
        <w:t xml:space="preserve"> </w:t>
      </w:r>
      <w:r w:rsidR="00045940" w:rsidRPr="0022613E">
        <w:rPr>
          <w:sz w:val="25"/>
        </w:rPr>
        <w:t>{</w:t>
      </w:r>
      <w:r w:rsidR="00CA02AF" w:rsidRPr="0022613E">
        <w:rPr>
          <w:sz w:val="25"/>
        </w:rPr>
        <w:t>{</w:t>
      </w:r>
      <w:r w:rsidR="00045940" w:rsidRPr="0022613E">
        <w:rPr>
          <w:sz w:val="25"/>
        </w:rPr>
        <w:t>ValorLoca</w:t>
      </w:r>
      <w:r w:rsidR="00CA02AF" w:rsidRPr="0022613E">
        <w:rPr>
          <w:sz w:val="25"/>
        </w:rPr>
        <w:t>ca</w:t>
      </w:r>
      <w:r w:rsidR="00045940" w:rsidRPr="0022613E">
        <w:rPr>
          <w:sz w:val="25"/>
        </w:rPr>
        <w:t>oMensal}</w:t>
      </w:r>
      <w:r w:rsidR="00CA02AF" w:rsidRPr="0022613E">
        <w:rPr>
          <w:sz w:val="25"/>
        </w:rPr>
        <w:t>}</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lastRenderedPageBreak/>
        <w:t>processuais</w:t>
      </w:r>
      <w:r w:rsidRPr="0022613E">
        <w:rPr>
          <w:spacing w:val="-8"/>
        </w:rPr>
        <w:t xml:space="preserve"> </w:t>
      </w:r>
      <w:r w:rsidRPr="0022613E">
        <w:t>e honorários advocatícios na base de 20% (vinte por cento) sobre o 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lastRenderedPageBreak/>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29107150"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2F22B9">
        <w:rPr>
          <w:b/>
          <w:sz w:val="25"/>
        </w:rPr>
        <w:t>{{mesDeDesocupa</w:t>
      </w:r>
      <w:r w:rsidR="00656C39">
        <w:rPr>
          <w:b/>
          <w:sz w:val="25"/>
        </w:rPr>
        <w:t>ca</w:t>
      </w:r>
      <w:r w:rsidR="002F22B9">
        <w:rPr>
          <w:b/>
          <w:sz w:val="25"/>
        </w:rPr>
        <w:t>o</w:t>
      </w:r>
      <w:r w:rsidR="005033C0">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0F738FA6" w:rsidR="005B6F86" w:rsidRPr="0022613E" w:rsidRDefault="0022613E">
      <w:pPr>
        <w:pStyle w:val="Corpodetexto"/>
        <w:spacing w:before="241"/>
        <w:ind w:left="5213"/>
        <w:jc w:val="left"/>
      </w:pPr>
      <w:r w:rsidRPr="0022613E">
        <w:t>Lavras,</w:t>
      </w:r>
      <w:r w:rsidRPr="0022613E">
        <w:rPr>
          <w:spacing w:val="-8"/>
        </w:rPr>
        <w:t xml:space="preserve"> </w:t>
      </w:r>
      <w:r w:rsidR="00CA02AF" w:rsidRPr="0022613E">
        <w:rPr>
          <w:bCs/>
          <w:spacing w:val="-8"/>
        </w:rPr>
        <w:t>{</w:t>
      </w:r>
      <w:r w:rsidR="00D33E4C" w:rsidRPr="0022613E">
        <w:rPr>
          <w:bCs/>
          <w:spacing w:val="-8"/>
        </w:rPr>
        <w:t>{dataContrato}</w:t>
      </w:r>
      <w:r w:rsidR="00CA02AF" w:rsidRPr="0022613E">
        <w:rPr>
          <w:bCs/>
          <w:spacing w:val="-8"/>
        </w:rPr>
        <w:t>}</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74475C"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02D41D"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BFC84"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8025BF"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27F9AC"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0651" w14:textId="77777777" w:rsidR="009A6CE9" w:rsidRDefault="009A6CE9">
      <w:r>
        <w:separator/>
      </w:r>
    </w:p>
  </w:endnote>
  <w:endnote w:type="continuationSeparator" w:id="0">
    <w:p w14:paraId="41EAD335" w14:textId="77777777" w:rsidR="009A6CE9" w:rsidRDefault="009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B541" w14:textId="77777777" w:rsidR="009A6CE9" w:rsidRDefault="009A6CE9">
      <w:r>
        <w:separator/>
      </w:r>
    </w:p>
  </w:footnote>
  <w:footnote w:type="continuationSeparator" w:id="0">
    <w:p w14:paraId="1D427EE2" w14:textId="77777777" w:rsidR="009A6CE9" w:rsidRDefault="009A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0F0982"/>
    <w:rsid w:val="00116A51"/>
    <w:rsid w:val="00144C64"/>
    <w:rsid w:val="00180BF9"/>
    <w:rsid w:val="001861F1"/>
    <w:rsid w:val="001C2643"/>
    <w:rsid w:val="001C6B3C"/>
    <w:rsid w:val="001E07A8"/>
    <w:rsid w:val="001F21DE"/>
    <w:rsid w:val="0022613E"/>
    <w:rsid w:val="00244CEE"/>
    <w:rsid w:val="0026168E"/>
    <w:rsid w:val="002858CF"/>
    <w:rsid w:val="002F22B9"/>
    <w:rsid w:val="00303E67"/>
    <w:rsid w:val="00356B9F"/>
    <w:rsid w:val="003772BB"/>
    <w:rsid w:val="003B5C50"/>
    <w:rsid w:val="003C07E9"/>
    <w:rsid w:val="003C5DD0"/>
    <w:rsid w:val="00404B46"/>
    <w:rsid w:val="004251BE"/>
    <w:rsid w:val="00425F66"/>
    <w:rsid w:val="00427EE3"/>
    <w:rsid w:val="00444253"/>
    <w:rsid w:val="004604AF"/>
    <w:rsid w:val="004A4834"/>
    <w:rsid w:val="004C1C0D"/>
    <w:rsid w:val="004D1F27"/>
    <w:rsid w:val="005033C0"/>
    <w:rsid w:val="005150B8"/>
    <w:rsid w:val="005549CB"/>
    <w:rsid w:val="00554DC0"/>
    <w:rsid w:val="00576E2C"/>
    <w:rsid w:val="00590440"/>
    <w:rsid w:val="005A28DC"/>
    <w:rsid w:val="005B6F86"/>
    <w:rsid w:val="005B7E4D"/>
    <w:rsid w:val="006137BC"/>
    <w:rsid w:val="006565F5"/>
    <w:rsid w:val="00656C39"/>
    <w:rsid w:val="00694EDF"/>
    <w:rsid w:val="00695E28"/>
    <w:rsid w:val="0073556A"/>
    <w:rsid w:val="00736B26"/>
    <w:rsid w:val="00752E08"/>
    <w:rsid w:val="007C5F3B"/>
    <w:rsid w:val="007D5477"/>
    <w:rsid w:val="008A2FF3"/>
    <w:rsid w:val="008D4D85"/>
    <w:rsid w:val="00922541"/>
    <w:rsid w:val="00975786"/>
    <w:rsid w:val="009A14B0"/>
    <w:rsid w:val="009A6CE9"/>
    <w:rsid w:val="009E1D9F"/>
    <w:rsid w:val="00B84618"/>
    <w:rsid w:val="00BF070B"/>
    <w:rsid w:val="00BF7262"/>
    <w:rsid w:val="00C16897"/>
    <w:rsid w:val="00C336BC"/>
    <w:rsid w:val="00CA02AF"/>
    <w:rsid w:val="00CC06A5"/>
    <w:rsid w:val="00D216C6"/>
    <w:rsid w:val="00D22971"/>
    <w:rsid w:val="00D33E4C"/>
    <w:rsid w:val="00D556AB"/>
    <w:rsid w:val="00D95E3F"/>
    <w:rsid w:val="00DB2DCD"/>
    <w:rsid w:val="00DB5067"/>
    <w:rsid w:val="00DC346F"/>
    <w:rsid w:val="00DE04CD"/>
    <w:rsid w:val="00DE1904"/>
    <w:rsid w:val="00DE7719"/>
    <w:rsid w:val="00E40689"/>
    <w:rsid w:val="00E53279"/>
    <w:rsid w:val="00E87304"/>
    <w:rsid w:val="00E96215"/>
    <w:rsid w:val="00EB13BA"/>
    <w:rsid w:val="00EC5542"/>
    <w:rsid w:val="00EF5216"/>
    <w:rsid w:val="00F70E6F"/>
    <w:rsid w:val="00F76DAA"/>
    <w:rsid w:val="00F82390"/>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5688</Words>
  <Characters>30721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73</cp:revision>
  <dcterms:created xsi:type="dcterms:W3CDTF">2025-09-24T16:29:00Z</dcterms:created>
  <dcterms:modified xsi:type="dcterms:W3CDTF">2025-10-02T13:29:00Z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