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D2152EF" w14:textId="068BDDF1">
      <w:pPr>
        <w:pStyle w:val="680"/>
        <w:pBdr/>
        <w:spacing w:after="80" w:afterAutospacing="0" w:before="360" w:beforeAutospacing="0"/>
        <w:ind/>
        <w:jc w:val="center"/>
        <w:rPr>
          <w:rFonts w:ascii="Liberation Serif" w:hAnsi="Liberation Serif" w:eastAsia="Liberation Serif" w:cs="Liberation Serif"/>
          <w:b w:val="0"/>
          <w:bCs w:val="0"/>
          <w:color w:val="000000" w:themeColor="text1" w:themeTint="FF" w:themeShade="FF"/>
          <w:sz w:val="40"/>
          <w:szCs w:val="40"/>
          <w:lang w:val="en-US"/>
        </w:rPr>
      </w:pPr>
      <w:r>
        <w:rPr>
          <w:rFonts w:ascii="Liberation Serif" w:hAnsi="Liberation Serif" w:eastAsia="Liberation Serif" w:cs="Liberation Serif"/>
          <w:b w:val="0"/>
          <w:bCs w:val="0"/>
          <w:color w:val="000000" w:themeColor="text1" w:themeTint="FF" w:themeShade="FF"/>
          <w:sz w:val="40"/>
          <w:szCs w:val="40"/>
          <w:lang w:val="en-US"/>
        </w:rPr>
        <w:t xml:space="preserve">Cross-Linguistic Transfer Diagnostics for Low-Resource Financial NLP in Indic Languages</w:t>
      </w:r>
      <w:r>
        <w:rPr>
          <w:rFonts w:ascii="Liberation Serif" w:hAnsi="Liberation Serif" w:eastAsia="Liberation Serif" w:cs="Liberation Serif"/>
          <w:b w:val="0"/>
          <w:bCs w:val="0"/>
          <w:color w:val="000000" w:themeColor="text1" w:themeTint="FF" w:themeShade="FF"/>
          <w:sz w:val="40"/>
          <w:szCs w:val="40"/>
          <w:lang w:val="en-US"/>
        </w:rPr>
      </w:r>
    </w:p>
    <w:p w14:paraId="2C078E63" w14:textId="4C456ABB">
      <w:pPr>
        <w:pBdr/>
        <w:spacing/>
        <w:ind/>
        <w:rPr>
          <w:rFonts w:ascii="Times New Roman" w:hAnsi="Times New Roman" w:eastAsia="Times New Roman" w:cs="Times New Roman"/>
          <w:sz w:val="36"/>
          <w:szCs w:val="36"/>
        </w:rPr>
      </w:pPr>
      <w:r>
        <w:rPr>
          <w:rFonts w:ascii="Times New Roman" w:hAnsi="Times New Roman" w:eastAsia="Times New Roman" w:cs="Times New Roman"/>
          <w:sz w:val="36"/>
          <w:szCs w:val="36"/>
        </w:rPr>
      </w:r>
      <w:r>
        <w:rPr>
          <w:rFonts w:ascii="Times New Roman" w:hAnsi="Times New Roman" w:eastAsia="Times New Roman" w:cs="Times New Roman"/>
          <w:sz w:val="36"/>
          <w:szCs w:val="36"/>
        </w:rPr>
      </w:r>
    </w:p>
    <w:p w14:paraId="6F430031" w14:textId="65B3F867">
      <w:pPr>
        <w:pBdr/>
        <w:spacing/>
        <w:ind/>
        <w:rPr/>
      </w:pPr>
      <w:r>
        <w:rPr>
          <w:rFonts w:ascii="Times New Roman" w:hAnsi="Times New Roman" w:eastAsia="Times New Roman" w:cs="Times New Roman"/>
          <w:sz w:val="24"/>
          <w:szCs w:val="24"/>
        </w:rPr>
        <w:t xml:space="preserve">Abstract— </w:t>
      </w:r>
      <w:r>
        <w:rPr>
          <w:rFonts w:ascii="Times New Roman" w:hAnsi="Times New Roman" w:eastAsia="Times New Roman" w:cs="Times New Roman"/>
          <w:sz w:val="24"/>
          <w:szCs w:val="24"/>
        </w:rPr>
        <w:t xml:space="preserve">Multilingual language models work well on </w:t>
      </w:r>
      <w:r>
        <w:rPr>
          <w:rFonts w:ascii="Times New Roman" w:hAnsi="Times New Roman" w:eastAsia="Times New Roman" w:cs="Times New Roman"/>
          <w:sz w:val="24"/>
          <w:szCs w:val="24"/>
        </w:rPr>
        <w:t xml:space="preserve">tasks.</w:t>
      </w:r>
      <w:r>
        <w:rPr>
          <w:rFonts w:ascii="Times New Roman" w:hAnsi="Times New Roman" w:eastAsia="Times New Roman" w:cs="Times New Roman"/>
          <w:sz w:val="24"/>
          <w:szCs w:val="24"/>
        </w:rPr>
        <w:t xml:space="preserve"> We still </w:t>
      </w:r>
      <w:r>
        <w:rPr>
          <w:rFonts w:ascii="Times New Roman" w:hAnsi="Times New Roman" w:eastAsia="Times New Roman" w:cs="Times New Roman"/>
          <w:sz w:val="24"/>
          <w:szCs w:val="24"/>
        </w:rPr>
        <w:t xml:space="preserve">don't</w:t>
      </w:r>
      <w:r>
        <w:rPr>
          <w:rFonts w:ascii="Times New Roman" w:hAnsi="Times New Roman" w:eastAsia="Times New Roman" w:cs="Times New Roman"/>
          <w:sz w:val="24"/>
          <w:szCs w:val="24"/>
        </w:rPr>
        <w:t xml:space="preserve"> know if they keep financial meaning the same across Indic languages. Current benchmarks like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mix language effects with differences in topic, </w:t>
      </w:r>
      <w:r>
        <w:rPr>
          <w:rFonts w:ascii="Times New Roman" w:hAnsi="Times New Roman" w:eastAsia="Times New Roman" w:cs="Times New Roman"/>
          <w:sz w:val="24"/>
          <w:szCs w:val="24"/>
        </w:rPr>
        <w:t xml:space="preserve">entity</w:t>
      </w:r>
      <w:r>
        <w:rPr>
          <w:rFonts w:ascii="Times New Roman" w:hAnsi="Times New Roman" w:eastAsia="Times New Roman" w:cs="Times New Roman"/>
          <w:sz w:val="24"/>
          <w:szCs w:val="24"/>
        </w:rPr>
        <w:t xml:space="preserve"> and difficulty. That makes it hard to understand transfer gaps. We create a controlled evaluation corpus based on </w:t>
      </w:r>
      <w:r>
        <w:rPr>
          <w:rFonts w:ascii="Times New Roman" w:hAnsi="Times New Roman" w:eastAsia="Times New Roman" w:cs="Times New Roman"/>
          <w:sz w:val="24"/>
          <w:szCs w:val="24"/>
        </w:rPr>
        <w:t xml:space="preserve">IndicFinNLP</w:t>
      </w:r>
      <w:r>
        <w:rPr>
          <w:rFonts w:ascii="Times New Roman" w:hAnsi="Times New Roman" w:eastAsia="Times New Roman" w:cs="Times New Roman"/>
          <w:sz w:val="24"/>
          <w:szCs w:val="24"/>
        </w:rPr>
        <w:t xml:space="preserve"> using Hindi, Bengali, </w:t>
      </w:r>
      <w:r>
        <w:rPr>
          <w:rFonts w:ascii="Times New Roman" w:hAnsi="Times New Roman" w:eastAsia="Times New Roman" w:cs="Times New Roman"/>
          <w:sz w:val="24"/>
          <w:szCs w:val="24"/>
        </w:rPr>
        <w:t xml:space="preserve">Telugu</w:t>
      </w:r>
      <w:r>
        <w:rPr>
          <w:rFonts w:ascii="Times New Roman" w:hAnsi="Times New Roman" w:eastAsia="Times New Roman" w:cs="Times New Roman"/>
          <w:sz w:val="24"/>
          <w:szCs w:val="24"/>
        </w:rPr>
        <w:t xml:space="preserve"> and Malayalam. The task labels stay the same. We use machine translation with IndicTrans2 </w:t>
      </w:r>
      <w:r>
        <w:rPr>
          <w:rFonts w:ascii="Times New Roman" w:hAnsi="Times New Roman" w:eastAsia="Times New Roman" w:cs="Times New Roman"/>
          <w:sz w:val="24"/>
          <w:szCs w:val="24"/>
        </w:rPr>
        <w:t xml:space="preserve">on</w:t>
      </w:r>
      <w:r>
        <w:rPr>
          <w:rFonts w:ascii="Times New Roman" w:hAnsi="Times New Roman" w:eastAsia="Times New Roman" w:cs="Times New Roman"/>
          <w:sz w:val="24"/>
          <w:szCs w:val="24"/>
        </w:rPr>
        <w:t xml:space="preserve"> 92,760 rows. Then we check them using entity rules, structural integrity </w:t>
      </w:r>
      <w:r>
        <w:rPr>
          <w:rFonts w:ascii="Times New Roman" w:hAnsi="Times New Roman" w:eastAsia="Times New Roman" w:cs="Times New Roman"/>
          <w:sz w:val="24"/>
          <w:szCs w:val="24"/>
        </w:rPr>
        <w:t xml:space="preserve">checks</w:t>
      </w:r>
      <w:r>
        <w:rPr>
          <w:rFonts w:ascii="Times New Roman" w:hAnsi="Times New Roman" w:eastAsia="Times New Roman" w:cs="Times New Roman"/>
          <w:sz w:val="24"/>
          <w:szCs w:val="24"/>
        </w:rPr>
        <w:t xml:space="preserve"> and calibrated </w:t>
      </w:r>
      <w:r>
        <w:rPr>
          <w:rFonts w:ascii="Times New Roman" w:hAnsi="Times New Roman" w:eastAsia="Times New Roman" w:cs="Times New Roman"/>
          <w:sz w:val="24"/>
          <w:szCs w:val="24"/>
        </w:rPr>
        <w:t xml:space="preserve">LaBSE</w:t>
      </w:r>
      <w:r>
        <w:rPr>
          <w:rFonts w:ascii="Times New Roman" w:hAnsi="Times New Roman" w:eastAsia="Times New Roman" w:cs="Times New Roman"/>
          <w:sz w:val="24"/>
          <w:szCs w:val="24"/>
        </w:rPr>
        <w:t xml:space="preserve"> similarity gates. An </w:t>
      </w:r>
      <w:r>
        <w:rPr>
          <w:rFonts w:ascii="Times New Roman" w:hAnsi="Times New Roman" w:eastAsia="Times New Roman" w:cs="Times New Roman"/>
          <w:sz w:val="24"/>
          <w:szCs w:val="24"/>
        </w:rPr>
        <w:t xml:space="preserve">independence</w:t>
      </w:r>
      <w:r>
        <w:rPr>
          <w:rFonts w:ascii="Times New Roman" w:hAnsi="Times New Roman" w:eastAsia="Times New Roman" w:cs="Times New Roman"/>
          <w:sz w:val="24"/>
          <w:szCs w:val="24"/>
        </w:rPr>
        <w:t xml:space="preserve"> audit shows that the sustainability and ESG-theme splits are parallel. The numeral split comes from a source. Using this corpus we fine-tune IndicBERT-v2 and </w:t>
      </w:r>
      <w:r>
        <w:rPr>
          <w:rFonts w:ascii="Times New Roman" w:hAnsi="Times New Roman" w:eastAsia="Times New Roman" w:cs="Times New Roman"/>
          <w:sz w:val="24"/>
          <w:szCs w:val="24"/>
        </w:rPr>
        <w:t xml:space="preserve">mBERT</w:t>
      </w:r>
      <w:r>
        <w:rPr>
          <w:rFonts w:ascii="Times New Roman" w:hAnsi="Times New Roman" w:eastAsia="Times New Roman" w:cs="Times New Roman"/>
          <w:sz w:val="24"/>
          <w:szCs w:val="24"/>
        </w:rPr>
        <w:t xml:space="preserve"> on one language and then test zero-shot on the others. When starting from </w:t>
      </w:r>
      <w:r>
        <w:rPr>
          <w:rFonts w:ascii="Times New Roman" w:hAnsi="Times New Roman" w:eastAsia="Times New Roman" w:cs="Times New Roman"/>
          <w:sz w:val="24"/>
          <w:szCs w:val="24"/>
        </w:rPr>
        <w:t xml:space="preserve">Hindi</w:t>
      </w:r>
      <w:r>
        <w:rPr>
          <w:rFonts w:ascii="Times New Roman" w:hAnsi="Times New Roman" w:eastAsia="Times New Roman" w:cs="Times New Roman"/>
          <w:sz w:val="24"/>
          <w:szCs w:val="24"/>
        </w:rPr>
        <w:t xml:space="preserve"> we lose about 0.39 to 0.45 in macro-F1 for sustainability classification. For ESG </w:t>
      </w:r>
      <w:r>
        <w:rPr>
          <w:rFonts w:ascii="Times New Roman" w:hAnsi="Times New Roman" w:eastAsia="Times New Roman" w:cs="Times New Roman"/>
          <w:sz w:val="24"/>
          <w:szCs w:val="24"/>
        </w:rPr>
        <w:t xml:space="preserve">themes</w:t>
      </w:r>
      <w:r>
        <w:rPr>
          <w:rFonts w:ascii="Times New Roman" w:hAnsi="Times New Roman" w:eastAsia="Times New Roman" w:cs="Times New Roman"/>
          <w:sz w:val="24"/>
          <w:szCs w:val="24"/>
        </w:rPr>
        <w:t xml:space="preserve"> the drop is 0.50 to 0.51. MBERT performs better than IndicBERT-v2 in all twelve matching cases. Hindi is the source language for both models. Moving into a language costs mo</w:t>
      </w:r>
      <w:r>
        <w:rPr>
          <w:rFonts w:ascii="Times New Roman" w:hAnsi="Times New Roman" w:eastAsia="Times New Roman" w:cs="Times New Roman"/>
          <w:sz w:val="24"/>
          <w:szCs w:val="24"/>
        </w:rPr>
        <w:t xml:space="preserve">re than moving into an Indo-Aryan one. This pattern also shows up in translation quality—drops of 2.6 to 4.8 points across all three tasks. We also introduce a two-stage framework. It assigns each failure to one cause. The framework is. Tested at the unit </w:t>
      </w:r>
      <w:r>
        <w:rPr>
          <w:rFonts w:ascii="Times New Roman" w:hAnsi="Times New Roman" w:eastAsia="Times New Roman" w:cs="Times New Roman"/>
          <w:sz w:val="24"/>
          <w:szCs w:val="24"/>
        </w:rPr>
        <w:t xml:space="preserve">level..</w:t>
      </w:r>
      <w:r>
        <w:rPr>
          <w:rFonts w:ascii="Times New Roman" w:hAnsi="Times New Roman" w:eastAsia="Times New Roman" w:cs="Times New Roman"/>
          <w:sz w:val="24"/>
          <w:szCs w:val="24"/>
        </w:rPr>
        <w:t xml:space="preserve"> So </w:t>
      </w:r>
      <w:r>
        <w:rPr>
          <w:rFonts w:ascii="Times New Roman" w:hAnsi="Times New Roman" w:eastAsia="Times New Roman" w:cs="Times New Roman"/>
          <w:sz w:val="24"/>
          <w:szCs w:val="24"/>
        </w:rPr>
        <w:t xml:space="preserve">far</w:t>
      </w:r>
      <w:r>
        <w:rPr>
          <w:rFonts w:ascii="Times New Roman" w:hAnsi="Times New Roman" w:eastAsia="Times New Roman" w:cs="Times New Roman"/>
          <w:sz w:val="24"/>
          <w:szCs w:val="24"/>
        </w:rPr>
        <w:t xml:space="preserve"> it has only been run end to end under one condition. </w:t>
      </w:r>
      <w:r>
        <w:rPr>
          <w:rFonts w:ascii="Times New Roman" w:hAnsi="Times New Roman" w:eastAsia="Times New Roman" w:cs="Times New Roman"/>
          <w:sz w:val="24"/>
          <w:szCs w:val="24"/>
        </w:rPr>
        <w:t xml:space="preserve">So</w:t>
      </w:r>
      <w:r>
        <w:rPr>
          <w:rFonts w:ascii="Times New Roman" w:hAnsi="Times New Roman" w:eastAsia="Times New Roman" w:cs="Times New Roman"/>
          <w:sz w:val="24"/>
          <w:szCs w:val="24"/>
        </w:rPr>
        <w:t xml:space="preserve"> we report the size and shape of the transfer gap. We leave the causal </w:t>
      </w:r>
      <w:r>
        <w:rPr>
          <w:rFonts w:ascii="Times New Roman" w:hAnsi="Times New Roman" w:eastAsia="Times New Roman" w:cs="Times New Roman"/>
          <w:sz w:val="24"/>
          <w:szCs w:val="24"/>
        </w:rPr>
        <w:t xml:space="preserve">explanation,</w:t>
      </w:r>
      <w:r>
        <w:rPr>
          <w:rFonts w:ascii="Times New Roman" w:hAnsi="Times New Roman" w:eastAsia="Times New Roman" w:cs="Times New Roman"/>
          <w:sz w:val="24"/>
          <w:szCs w:val="24"/>
        </w:rPr>
        <w:t xml:space="preserve"> for future research.</w:t>
      </w:r>
      <w:r/>
    </w:p>
    <w:p w14:paraId="612E938C" w14:textId="576A7C0D">
      <w:pPr>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01A6327" w14:textId="39F8B839">
      <w:pPr>
        <w:pStyle w:val="681"/>
        <w:numPr>
          <w:ilvl w:val="0"/>
          <w:numId w:val="6"/>
        </w:numPr>
        <w:pBdr/>
        <w:spacing/>
        <w:ind/>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INTRODUCTION</w:t>
      </w:r>
      <w:r>
        <w:rPr>
          <w:rFonts w:ascii="Times New Roman" w:hAnsi="Times New Roman" w:eastAsia="Times New Roman" w:cs="Times New Roman"/>
          <w:sz w:val="24"/>
          <w:szCs w:val="24"/>
        </w:rPr>
      </w:r>
    </w:p>
    <w:p w14:paraId="570DD9E1" w14:textId="276AD2AB">
      <w:pPr>
        <w:pStyle w:val="681"/>
        <w:pBdr/>
        <w:spacing/>
        <w:ind w:left="72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5BA8856" w14:textId="613EE2EC">
      <w:pPr>
        <w:pStyle w:val="676"/>
        <w:pBdr/>
        <w:spacing/>
        <w:ind w:left="0"/>
        <w:jc w:val="left"/>
        <w:rPr/>
      </w:pPr>
      <w:r>
        <w:rPr>
          <w:rFonts w:ascii="Times New Roman" w:hAnsi="Times New Roman" w:eastAsia="Times New Roman" w:cs="Times New Roman"/>
          <w:sz w:val="24"/>
          <w:szCs w:val="24"/>
        </w:rPr>
        <w:t xml:space="preserve">Finan</w:t>
      </w:r>
      <w:r>
        <w:rPr>
          <w:rFonts w:ascii="Times New Roman" w:hAnsi="Times New Roman" w:eastAsia="Times New Roman" w:cs="Times New Roman"/>
          <w:sz w:val="24"/>
          <w:szCs w:val="24"/>
        </w:rPr>
        <w:t xml:space="preserve">cial text in languages grows quickly. However annotated resources are still scarce. Multilingual pre-trained encoders allow reuse of labelled data from one language to another. Multilingual pre-trained encoders transfer well on general understanding benchm</w:t>
      </w:r>
      <w:r>
        <w:rPr>
          <w:rFonts w:ascii="Times New Roman" w:hAnsi="Times New Roman" w:eastAsia="Times New Roman" w:cs="Times New Roman"/>
          <w:sz w:val="24"/>
          <w:szCs w:val="24"/>
        </w:rPr>
        <w:t xml:space="preserve">arks [13] [14]. Transfer degrades sharply in resource- settings and between distant languages [15]. Finance demands domain terminology, numerals written in scale conventions such, as lakh and crore and named entities that must survive a change of language.</w:t>
      </w:r>
      <w:r/>
    </w:p>
    <w:p w14:paraId="599036AB" w14:textId="50FDC11D">
      <w:pPr>
        <w:pStyle w:val="676"/>
        <w:pBdr/>
        <w:spacing/>
        <w:ind w:left="0"/>
        <w:jc w:val="left"/>
        <w:rPr/>
      </w:pPr>
      <w:r>
        <w:rPr>
          <w:rFonts w:ascii="Times New Roman" w:hAnsi="Times New Roman" w:eastAsia="Times New Roman" w:cs="Times New Roman"/>
          <w:sz w:val="24"/>
          <w:szCs w:val="24"/>
        </w:rPr>
        <w:t xml:space="preserve">IndicFinNLP [1] is the test to include financial NLP in Hindi, Bengali and Telugu. It off</w:t>
      </w:r>
      <w:r>
        <w:rPr>
          <w:rFonts w:ascii="Times New Roman" w:hAnsi="Times New Roman" w:eastAsia="Times New Roman" w:cs="Times New Roman"/>
          <w:sz w:val="24"/>
          <w:szCs w:val="24"/>
        </w:rPr>
        <w:t xml:space="preserve">ers three tasks: detecting numbers, classifying sustainability and determining ESG themes. It was created to provide single language baselines not to check transfer. When language splits have sentences about different things and events a difference in perf</w:t>
      </w:r>
      <w:r>
        <w:rPr>
          <w:rFonts w:ascii="Times New Roman" w:hAnsi="Times New Roman" w:eastAsia="Times New Roman" w:cs="Times New Roman"/>
          <w:sz w:val="24"/>
          <w:szCs w:val="24"/>
        </w:rPr>
        <w:t xml:space="preserve">ormance, across languages mixes language effects with topic, thing and difficulty changes. Parallel test sets have been made for Indic NLU [8] [9] but nothing includes finance or ESG text and no multilingual ESG shared tasks have had an Indic language [5].</w:t>
      </w:r>
      <w:r/>
    </w:p>
    <w:p w14:paraId="267EED04" w14:textId="103E149A">
      <w:pPr>
        <w:pStyle w:val="676"/>
        <w:pBdr/>
        <w:spacing/>
        <w:ind w:left="0"/>
        <w:jc w:val="left"/>
        <w:rPr/>
      </w:pPr>
      <w:r>
        <w:rPr>
          <w:rFonts w:ascii="Times New Roman" w:hAnsi="Times New Roman" w:eastAsia="Times New Roman" w:cs="Times New Roman"/>
          <w:sz w:val="24"/>
          <w:szCs w:val="24"/>
        </w:rPr>
        <w:t xml:space="preserve">These gaps lead to one research question: can multilingual language models accurately keep meanings when knowledge moves, between Indic languages? To answer this two things are needed. </w:t>
      </w:r>
      <w:r>
        <w:rPr>
          <w:rFonts w:ascii="Times New Roman" w:hAnsi="Times New Roman" w:eastAsia="Times New Roman" w:cs="Times New Roman"/>
          <w:sz w:val="24"/>
          <w:szCs w:val="24"/>
        </w:rPr>
        <w:t xml:space="preserve">First, a test set where the language is the thing that changes. Second, an analysis that looks at why things go wrong in terms of language and money like words, numbers how words are. How they are split into parts and doesn't just look at overall accuracy.</w:t>
      </w:r>
      <w:r/>
    </w:p>
    <w:p w14:paraId="7C55FDA2" w14:textId="3BEFECDD">
      <w:pPr>
        <w:pStyle w:val="676"/>
        <w:pBdr/>
        <w:spacing/>
        <w:ind w:left="0"/>
        <w:jc w:val="left"/>
        <w:rPr/>
      </w:pPr>
      <w:r>
        <w:rPr>
          <w:rFonts w:ascii="Times New Roman" w:hAnsi="Times New Roman" w:eastAsia="Times New Roman" w:cs="Times New Roman"/>
          <w:sz w:val="24"/>
          <w:szCs w:val="24"/>
        </w:rPr>
        <w:t xml:space="preserve">A second concern shapes our design. Machine-translated paralle</w:t>
      </w:r>
      <w:r>
        <w:rPr>
          <w:rFonts w:ascii="Times New Roman" w:hAnsi="Times New Roman" w:eastAsia="Times New Roman" w:cs="Times New Roman"/>
          <w:sz w:val="24"/>
          <w:szCs w:val="24"/>
        </w:rPr>
        <w:t xml:space="preserve">l benchmarks can silently measure translation quality of transfer and low-resource languages suffer the hardest [18] [19]. We therefore treat label validity and translation quality as measured quantities. We report every flagged row without discarding any.</w:t>
      </w:r>
      <w:r/>
    </w:p>
    <w:p w14:paraId="36D54AE0" w14:textId="6266AC38">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This paper makes the following contributions:</w:t>
      </w:r>
      <w:r/>
    </w:p>
    <w:p w14:paraId="3077EB74" w14:textId="24A82A9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controlled parallel benchmark. The paper derives an aligned financial corpus in H</w:t>
      </w:r>
      <w:r>
        <w:rPr>
          <w:rFonts w:ascii="system-ui" w:hAnsi="system-ui" w:eastAsia="system-ui" w:cs="system-ui"/>
          <w:b w:val="0"/>
          <w:bCs w:val="0"/>
          <w:i w:val="0"/>
          <w:iCs w:val="0"/>
          <w:caps w:val="0"/>
          <w:smallCaps w:val="0"/>
          <w:color w:val="2b2d38"/>
          <w:sz w:val="22"/>
          <w:szCs w:val="22"/>
          <w:lang w:val="en-US"/>
        </w:rPr>
        <w:t xml:space="preserve">indi, Bengali, Telugu and Malayalam from IndicFinNLP keeping all labels intact. The paper audits which native splits are already parallel translates Indic-to-Indic using IndicTrans2. Applies layered quality gates to every one of the 92,760 translated rows.</w:t>
      </w:r>
      <w:r>
        <w:rPr>
          <w:rFonts w:ascii="system-ui" w:hAnsi="system-ui" w:eastAsia="system-ui" w:cs="system-ui"/>
          <w:b w:val="0"/>
          <w:bCs w:val="0"/>
          <w:i w:val="0"/>
          <w:iCs w:val="0"/>
          <w:caps w:val="0"/>
          <w:smallCaps w:val="0"/>
          <w:color w:val="2b2d38"/>
          <w:sz w:val="22"/>
          <w:szCs w:val="22"/>
          <w:lang w:val="en-US"/>
        </w:rPr>
      </w:r>
    </w:p>
    <w:p w14:paraId="3962F329" w14:textId="62DFEEB0">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systematic zero</w:t>
      </w:r>
      <w:r>
        <w:noBreakHyphen/>
      </w:r>
      <w:r>
        <w:rPr>
          <w:rFonts w:ascii="system-ui" w:hAnsi="system-ui" w:eastAsia="system-ui" w:cs="system-ui"/>
          <w:b w:val="0"/>
          <w:bCs w:val="0"/>
          <w:i w:val="0"/>
          <w:iCs w:val="0"/>
          <w:caps w:val="0"/>
          <w:smallCaps w:val="0"/>
          <w:color w:val="2b2d38"/>
          <w:sz w:val="22"/>
          <w:szCs w:val="22"/>
          <w:lang w:val="en-US"/>
        </w:rPr>
        <w:t xml:space="preserve">shot transfer study. The paper compares source languages Hindi, Bengali, Telugu and encoders IndicBERT</w:t>
      </w:r>
      <w:r>
        <w:noBreakHyphen/>
      </w:r>
      <w:r>
        <w:rPr>
          <w:rFonts w:ascii="system-ui" w:hAnsi="system-ui" w:eastAsia="system-ui" w:cs="system-ui"/>
          <w:b w:val="0"/>
          <w:bCs w:val="0"/>
          <w:i w:val="0"/>
          <w:iCs w:val="0"/>
          <w:caps w:val="0"/>
          <w:smallCaps w:val="0"/>
          <w:color w:val="2b2d38"/>
          <w:sz w:val="22"/>
          <w:szCs w:val="22"/>
          <w:lang w:val="en-US"/>
        </w:rPr>
        <w:t xml:space="preserve">v2. Mbert across the full grid of 126 planned results for each task after validating baselines against published figures.</w:t>
      </w:r>
      <w:r>
        <w:rPr>
          <w:rFonts w:ascii="system-ui" w:hAnsi="system-ui" w:eastAsia="system-ui" w:cs="system-ui"/>
          <w:b w:val="0"/>
          <w:bCs w:val="0"/>
          <w:i w:val="0"/>
          <w:iCs w:val="0"/>
          <w:caps w:val="0"/>
          <w:smallCaps w:val="0"/>
          <w:color w:val="2b2d38"/>
          <w:sz w:val="22"/>
          <w:szCs w:val="22"/>
          <w:lang w:val="en-US"/>
        </w:rPr>
      </w:r>
    </w:p>
    <w:p w14:paraId="303E72F6" w14:textId="637F352A">
      <w:pPr>
        <w:pStyle w:val="681"/>
        <w:numPr>
          <w:ilvl w:val="0"/>
          <w:numId w:val="5"/>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A transfer</w:t>
      </w:r>
      <w:r>
        <w:noBreakHyphen/>
      </w:r>
      <w:r>
        <w:rPr>
          <w:rFonts w:ascii="system-ui" w:hAnsi="system-ui" w:eastAsia="system-ui" w:cs="system-ui"/>
          <w:b w:val="0"/>
          <w:bCs w:val="0"/>
          <w:i w:val="0"/>
          <w:iCs w:val="0"/>
          <w:caps w:val="0"/>
          <w:smallCaps w:val="0"/>
          <w:color w:val="2b2d38"/>
          <w:sz w:val="22"/>
          <w:szCs w:val="22"/>
          <w:lang w:val="en-US"/>
        </w:rPr>
        <w:t xml:space="preserve">diagnostic framework. The paper presents a two</w:t>
      </w:r>
      <w:r>
        <w:noBreakHyphen/>
      </w:r>
      <w:r>
        <w:rPr>
          <w:rFonts w:ascii="system-ui" w:hAnsi="system-ui" w:eastAsia="system-ui" w:cs="system-ui"/>
          <w:b w:val="0"/>
          <w:bCs w:val="0"/>
          <w:i w:val="0"/>
          <w:iCs w:val="0"/>
          <w:caps w:val="0"/>
          <w:smallCaps w:val="0"/>
          <w:color w:val="2b2d38"/>
          <w:sz w:val="22"/>
          <w:szCs w:val="22"/>
          <w:lang w:val="en-US"/>
        </w:rPr>
        <w:t xml:space="preserve">stage router that first filters out translation noise, with a gate then assigns each failure a single linguistic cause keeping an audit trail of every module that fired. The framework is implemented and tested on one condition; the full</w:t>
      </w:r>
      <w:r>
        <w:noBreakHyphen/>
      </w:r>
      <w:r>
        <w:rPr>
          <w:rFonts w:ascii="system-ui" w:hAnsi="system-ui" w:eastAsia="system-ui" w:cs="system-ui"/>
          <w:b w:val="0"/>
          <w:bCs w:val="0"/>
          <w:i w:val="0"/>
          <w:iCs w:val="0"/>
          <w:caps w:val="0"/>
          <w:smallCaps w:val="0"/>
          <w:color w:val="2b2d38"/>
          <w:sz w:val="22"/>
          <w:szCs w:val="22"/>
          <w:lang w:val="en-US"/>
        </w:rPr>
        <w:t xml:space="preserve">scale run remains work.</w:t>
      </w:r>
      <w:r>
        <w:rPr>
          <w:rFonts w:ascii="system-ui" w:hAnsi="system-ui" w:eastAsia="system-ui" w:cs="system-ui"/>
          <w:b w:val="0"/>
          <w:bCs w:val="0"/>
          <w:i w:val="0"/>
          <w:iCs w:val="0"/>
          <w:caps w:val="0"/>
          <w:smallCaps w:val="0"/>
          <w:color w:val="2b2d38"/>
          <w:sz w:val="22"/>
          <w:szCs w:val="22"/>
          <w:lang w:val="en-US"/>
        </w:rPr>
      </w:r>
    </w:p>
    <w:p w14:paraId="440216DF" w14:textId="17E5CC92">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58E1B4A5" w14:textId="4F6442EB">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RELATED WORKS</w:t>
      </w:r>
      <w:r>
        <w:rPr>
          <w:rFonts w:ascii="system-ui" w:hAnsi="system-ui" w:eastAsia="system-ui" w:cs="system-ui"/>
          <w:b w:val="0"/>
          <w:bCs w:val="0"/>
          <w:i w:val="0"/>
          <w:iCs w:val="0"/>
          <w:caps w:val="0"/>
          <w:smallCaps w:val="0"/>
          <w:color w:val="2b2d38"/>
          <w:sz w:val="22"/>
          <w:szCs w:val="22"/>
          <w:lang w:val="en-US"/>
        </w:rPr>
      </w:r>
    </w:p>
    <w:p w14:paraId="12D028F1" w14:textId="28952FB0">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43F942" w14:textId="46BDF59E">
      <w:pPr>
        <w:pStyle w:val="676"/>
        <w:pBdr/>
        <w:spacing/>
        <w:ind w:left="0"/>
        <w:jc w:val="left"/>
        <w:rPr/>
      </w:pPr>
      <w:r>
        <w:rPr>
          <w:rFonts w:ascii="system-ui" w:hAnsi="system-ui" w:eastAsia="system-ui" w:cs="system-ui"/>
          <w:b w:val="0"/>
          <w:bCs w:val="0"/>
          <w:i w:val="0"/>
          <w:iCs w:val="0"/>
          <w:caps w:val="0"/>
          <w:smallCaps w:val="0"/>
          <w:color w:val="2b2d38"/>
          <w:sz w:val="22"/>
          <w:szCs w:val="22"/>
          <w:lang w:val="en-US"/>
        </w:rPr>
        <w:t xml:space="preserve">We look at twenty peer-reviewed works grouped into four categories: NLP resources, Indic NLP resources, cross-lingual transfer and the validity of translation-based benchmarks. The numbers, in brackets match the order of our literature review.</w:t>
      </w:r>
      <w:r/>
    </w:p>
    <w:p w14:paraId="25B51DB8" w14:textId="3AFEDD62">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Financial NLP Resources and Models</w:t>
      </w:r>
      <w:r>
        <w:rPr>
          <w:rFonts w:ascii="system-ui" w:hAnsi="system-ui" w:eastAsia="system-ui" w:cs="system-ui"/>
          <w:b w:val="0"/>
          <w:bCs w:val="0"/>
          <w:i w:val="0"/>
          <w:iCs w:val="0"/>
          <w:caps w:val="0"/>
          <w:smallCaps w:val="0"/>
          <w:color w:val="2b2d38"/>
          <w:sz w:val="22"/>
          <w:szCs w:val="22"/>
          <w:lang w:val="en-US"/>
        </w:rPr>
      </w:r>
    </w:p>
    <w:p w14:paraId="570FCFAD" w14:textId="21D1DCF4">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F0B5285" w14:textId="0EB0522D">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IndicFinNLP [1] is the resource used in this work. It provides nine datasets with three tasks each in Hindi, Bengali and Telugu along with baseline results. Outside India, MultiFin [2] focuse</w:t>
      </w:r>
      <w:r>
        <w:rPr>
          <w:rFonts w:ascii="system-ui" w:hAnsi="system-ui" w:eastAsia="system-ui" w:cs="system-ui"/>
          <w:b w:val="0"/>
          <w:bCs w:val="0"/>
          <w:i w:val="0"/>
          <w:iCs w:val="0"/>
          <w:caps w:val="0"/>
          <w:smallCaps w:val="0"/>
          <w:color w:val="2b2d38"/>
          <w:sz w:val="22"/>
          <w:szCs w:val="22"/>
          <w:lang w:val="en-US"/>
        </w:rPr>
        <w:t xml:space="preserve">s on headline classification across 15 languages. It compares labeling done by speakers with a translate-then-label approach, a choice that any parallel dataset must consider. Numeracy-600K [3] highlights magnitude as a distinct skill that can be learned. </w:t>
      </w:r>
      <w:r>
        <w:rPr>
          <w:rFonts w:ascii="system-ui" w:hAnsi="system-ui" w:eastAsia="system-ui" w:cs="system-ui"/>
          <w:b w:val="0"/>
          <w:bCs w:val="0"/>
          <w:i w:val="0"/>
          <w:iCs w:val="0"/>
          <w:caps w:val="0"/>
          <w:smallCaps w:val="0"/>
          <w:color w:val="2b2d38"/>
          <w:sz w:val="22"/>
          <w:szCs w:val="22"/>
          <w:lang w:val="en-US"/>
        </w:rPr>
        <w:t xml:space="preserve">It also shows that macro-F1 can differ significantly from micro-F1 when dealing with classes meaning accuracy alone may not reveal model shortcomings. FinBERT [4] demonstrates that domain- pre-training outperforms general BERT especially when training data</w:t>
      </w:r>
      <w:r>
        <w:rPr>
          <w:rFonts w:ascii="system-ui" w:hAnsi="system-ui" w:eastAsia="system-ui" w:cs="system-ui"/>
          <w:b w:val="0"/>
          <w:bCs w:val="0"/>
          <w:i w:val="0"/>
          <w:iCs w:val="0"/>
          <w:caps w:val="0"/>
          <w:smallCaps w:val="0"/>
          <w:color w:val="2b2d38"/>
          <w:sz w:val="22"/>
          <w:szCs w:val="22"/>
          <w:lang w:val="en-US"/>
        </w:rPr>
        <w:t xml:space="preserve"> is limited. The ML-ESG shared tasks [5] include ESG impact classification in English, Chinese, Japanese and French. Do not cover any Indic language. A recent survey of financial language models [6] points to low-resource evaluation, as ongoing challenges.</w:t>
      </w:r>
      <w:r/>
    </w:p>
    <w:p w14:paraId="2ED7CA7E" w14:textId="0964438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35E1D1D" w14:textId="48FA56E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Indic NLP Resources and Financial NLP Resources and Models Benchmarks</w:t>
      </w:r>
      <w:r>
        <w:rPr>
          <w:rFonts w:ascii="system-ui" w:hAnsi="system-ui" w:eastAsia="system-ui" w:cs="system-ui"/>
          <w:b w:val="0"/>
          <w:bCs w:val="0"/>
          <w:i w:val="0"/>
          <w:iCs w:val="0"/>
          <w:caps w:val="0"/>
          <w:smallCaps w:val="0"/>
          <w:color w:val="2b2d38"/>
          <w:sz w:val="22"/>
          <w:szCs w:val="22"/>
          <w:lang w:val="en-US"/>
        </w:rPr>
      </w:r>
    </w:p>
    <w:p w14:paraId="7FBB2F75" w14:textId="680CEE89">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15E85CE3" w14:textId="2D6F246A">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IndicNLPSuite [7] provided IndicCorp and the first IndicBERT while IndicXTREME [8] expanded this to nine tasks across 20 languages using IndicBERT-v2. Many of its sub-tasks are n-way parallel setting an e</w:t>
      </w:r>
      <w:r>
        <w:rPr>
          <w:rFonts w:ascii="system-ui" w:hAnsi="system-ui" w:eastAsia="system-ui" w:cs="system-ui"/>
          <w:b w:val="0"/>
          <w:bCs w:val="0"/>
          <w:i w:val="0"/>
          <w:iCs w:val="0"/>
          <w:caps w:val="0"/>
          <w:smallCaps w:val="0"/>
          <w:color w:val="2b2d38"/>
          <w:sz w:val="22"/>
          <w:szCs w:val="22"/>
          <w:lang w:val="en-US"/>
        </w:rPr>
        <w:t xml:space="preserve">xample for our corpus. IndicXNLI [9] created a parallel inference set through machine translation and tested transfer strategies concluding that translate-train can outperform English-source transfer for Indic languages. IndoRE [10] explored transfer betwe</w:t>
      </w:r>
      <w:r>
        <w:rPr>
          <w:rFonts w:ascii="system-ui" w:hAnsi="system-ui" w:eastAsia="system-ui" w:cs="system-ui"/>
          <w:b w:val="0"/>
          <w:bCs w:val="0"/>
          <w:i w:val="0"/>
          <w:iCs w:val="0"/>
          <w:caps w:val="0"/>
          <w:smallCaps w:val="0"/>
          <w:color w:val="2b2d38"/>
          <w:sz w:val="22"/>
          <w:szCs w:val="22"/>
          <w:lang w:val="en-US"/>
        </w:rPr>
        <w:t xml:space="preserve">en Bengali, Hindi and Telugu—the same language triple as in IndicFinNLP—focusing on relation classification. Research, on part-of-speech tagging [11] measured how much target data is needed for shot Indic transfer. None of these resources include ESG text.</w:t>
      </w:r>
      <w:r/>
    </w:p>
    <w:p w14:paraId="095112FC" w14:textId="476B8312">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D1E3F25" w14:textId="1C3D6E3F">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Cross Lingual Transfer</w:t>
      </w:r>
      <w:r>
        <w:rPr>
          <w:rFonts w:ascii="system-ui" w:hAnsi="system-ui" w:eastAsia="system-ui" w:cs="system-ui"/>
          <w:b w:val="0"/>
          <w:bCs w:val="0"/>
          <w:i w:val="0"/>
          <w:iCs w:val="0"/>
          <w:caps w:val="0"/>
          <w:smallCaps w:val="0"/>
          <w:color w:val="2b2d38"/>
          <w:sz w:val="22"/>
          <w:szCs w:val="22"/>
          <w:lang w:val="en-US"/>
        </w:rPr>
      </w:r>
    </w:p>
    <w:p w14:paraId="66877B97" w14:textId="7B70432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A15F405" w14:textId="42B8676E">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mBERT transfers across scripts but works best between languages that're similar in structure [12]. XLM R improved performance for languages with data by using a large scale model while showing a trade-off between good</w:t>
      </w:r>
      <w:r>
        <w:rPr>
          <w:rFonts w:ascii="system-ui" w:hAnsi="system-ui" w:eastAsia="system-ui" w:cs="system-ui"/>
          <w:b w:val="0"/>
          <w:bCs w:val="0"/>
          <w:i w:val="0"/>
          <w:iCs w:val="0"/>
          <w:caps w:val="0"/>
          <w:smallCaps w:val="0"/>
          <w:color w:val="2b2d38"/>
          <w:sz w:val="22"/>
          <w:szCs w:val="22"/>
          <w:lang w:val="en-US"/>
        </w:rPr>
        <w:t xml:space="preserve"> transfer and reduced capacity [13]. XTREME [14] measured the transfer gap as the difference between how a model works in the source language and how well it works in the target language and showed that this gap is still large. Lauscher et al [15] found th</w:t>
      </w:r>
      <w:r>
        <w:rPr>
          <w:rFonts w:ascii="system-ui" w:hAnsi="system-ui" w:eastAsia="system-ui" w:cs="system-ui"/>
          <w:b w:val="0"/>
          <w:bCs w:val="0"/>
          <w:i w:val="0"/>
          <w:iCs w:val="0"/>
          <w:caps w:val="0"/>
          <w:smallCaps w:val="0"/>
          <w:color w:val="2b2d38"/>
          <w:sz w:val="22"/>
          <w:szCs w:val="22"/>
          <w:lang w:val="en-US"/>
        </w:rPr>
        <w:t xml:space="preserve">at when there is no data for the target language the transfer gets worse and this is more true for languages that are very different and that a small amount of training on the target language closes most of the gap. Choosing the source language is itself a</w:t>
      </w:r>
      <w:r>
        <w:rPr>
          <w:rFonts w:ascii="system-ui" w:hAnsi="system-ui" w:eastAsia="system-ui" w:cs="system-ui"/>
          <w:b w:val="0"/>
          <w:bCs w:val="0"/>
          <w:i w:val="0"/>
          <w:iCs w:val="0"/>
          <w:caps w:val="0"/>
          <w:smallCaps w:val="0"/>
          <w:color w:val="2b2d38"/>
          <w:sz w:val="22"/>
          <w:szCs w:val="22"/>
          <w:lang w:val="en-US"/>
        </w:rPr>
        <w:t xml:space="preserve"> problem that depends on how the languages are related their structure how similar their words are and how much data is available [16]. Methods that use adapters such as MAD X [17] provide a way to make the process faster and more efficient, than training.</w:t>
      </w:r>
      <w:r/>
    </w:p>
    <w:p w14:paraId="2819B8DC" w14:textId="7F9187B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BE52AD5" w14:textId="11E09750">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Translation Based Transfer and Its Validity Risks</w:t>
      </w:r>
      <w:r>
        <w:rPr>
          <w:rFonts w:ascii="system-ui" w:hAnsi="system-ui" w:eastAsia="system-ui" w:cs="system-ui"/>
          <w:b w:val="0"/>
          <w:bCs w:val="0"/>
          <w:i w:val="0"/>
          <w:iCs w:val="0"/>
          <w:caps w:val="0"/>
          <w:smallCaps w:val="0"/>
          <w:color w:val="2b2d38"/>
          <w:sz w:val="22"/>
          <w:szCs w:val="22"/>
          <w:lang w:val="en-US"/>
        </w:rPr>
      </w:r>
    </w:p>
    <w:p w14:paraId="0FA17C74" w14:textId="003946D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D9ED3B2" w14:textId="61683EE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Machine translation forms the basis for parallel Indic benchmarks so its problems are passed along. Artetxe et al. [</w:t>
      </w:r>
      <w:r>
        <w:rPr>
          <w:rFonts w:ascii="system-ui" w:hAnsi="system-ui" w:eastAsia="system-ui" w:cs="system-ui"/>
          <w:b w:val="0"/>
          <w:bCs w:val="0"/>
          <w:i w:val="0"/>
          <w:iCs w:val="0"/>
          <w:caps w:val="0"/>
          <w:smallCaps w:val="0"/>
          <w:color w:val="2b2d38"/>
          <w:sz w:val="22"/>
          <w:szCs w:val="22"/>
          <w:lang w:val="en-US"/>
        </w:rPr>
        <w:t xml:space="preserve">18] Showed that translate test is more effective than earlier studies once translation quality and train test mismatch are taken into account. Agrawal et al. [19] Showed that translation problems in XNLI have an impact on low resource languages and that ma</w:t>
      </w:r>
      <w:r>
        <w:rPr>
          <w:rFonts w:ascii="system-ui" w:hAnsi="system-ui" w:eastAsia="system-ui" w:cs="system-ui"/>
          <w:b w:val="0"/>
          <w:bCs w:val="0"/>
          <w:i w:val="0"/>
          <w:iCs w:val="0"/>
          <w:caps w:val="0"/>
          <w:smallCaps w:val="0"/>
          <w:color w:val="2b2d38"/>
          <w:sz w:val="22"/>
          <w:szCs w:val="22"/>
          <w:lang w:val="en-US"/>
        </w:rPr>
        <w:t xml:space="preserve">nual re annotation of Hindi and Urdu did not match the inherited English labels well. A systematic review of multilingual sentiment analysis [20] concludes that creating resource resources, from high resource ones is still a methodologically open question.</w:t>
      </w:r>
      <w:r/>
    </w:p>
    <w:p w14:paraId="0E4D596C" w14:textId="0A73DFE2">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2AA2A3C8" w14:textId="65481BE4">
      <w:pPr>
        <w:pStyle w:val="681"/>
        <w:numPr>
          <w:ilvl w:val="0"/>
          <w:numId w:val="4"/>
        </w:numPr>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Positioning</w:t>
      </w:r>
      <w:r>
        <w:rPr>
          <w:rFonts w:ascii="system-ui" w:hAnsi="system-ui" w:eastAsia="system-ui" w:cs="system-ui"/>
          <w:b w:val="0"/>
          <w:bCs w:val="0"/>
          <w:i w:val="0"/>
          <w:iCs w:val="0"/>
          <w:caps w:val="0"/>
          <w:smallCaps w:val="0"/>
          <w:color w:val="2b2d38"/>
          <w:sz w:val="22"/>
          <w:szCs w:val="22"/>
          <w:lang w:val="en-US"/>
        </w:rPr>
      </w:r>
    </w:p>
    <w:p w14:paraId="2B19335C" w14:textId="7E2A653A">
      <w:pPr>
        <w:pStyle w:val="681"/>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7593A428" w14:textId="2DA7AEB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t xml:space="preserve">We already hav</w:t>
      </w:r>
      <w:r>
        <w:rPr>
          <w:rFonts w:ascii="system-ui" w:hAnsi="system-ui" w:eastAsia="system-ui" w:cs="system-ui"/>
          <w:b w:val="0"/>
          <w:bCs w:val="0"/>
          <w:i w:val="0"/>
          <w:iCs w:val="0"/>
          <w:caps w:val="0"/>
          <w:smallCaps w:val="0"/>
          <w:color w:val="2b2d38"/>
          <w:sz w:val="22"/>
          <w:szCs w:val="22"/>
          <w:lang w:val="en-US"/>
        </w:rPr>
        <w:t xml:space="preserve">e the methods we need. What’s missing is the right combination. Parallel Indic evaluation exists for natural language understanding [8] [9] but not for finance. Multilingual ESG work [5] does not include languages at all. Transfer gaps are usually reported</w:t>
      </w:r>
      <w:r>
        <w:rPr>
          <w:rFonts w:ascii="system-ui" w:hAnsi="system-ui" w:eastAsia="system-ui" w:cs="system-ui"/>
          <w:b w:val="0"/>
          <w:bCs w:val="0"/>
          <w:i w:val="0"/>
          <w:iCs w:val="0"/>
          <w:caps w:val="0"/>
          <w:smallCaps w:val="0"/>
          <w:color w:val="2b2d38"/>
          <w:sz w:val="22"/>
          <w:szCs w:val="22"/>
          <w:lang w:val="en-US"/>
        </w:rPr>
        <w:t xml:space="preserve"> in terms [14] or linked to general similarity [12] [15] [16]. Rarely connected to specific content traits, like numerals, terminology or morphology at the item level. Few-shot budgets [11] [15] and source-language selection [9] [16] have not been studied </w:t>
      </w:r>
      <w:r>
        <w:rPr>
          <w:rFonts w:ascii="system-ui" w:hAnsi="system-ui" w:eastAsia="system-ui" w:cs="system-ui"/>
          <w:b w:val="0"/>
          <w:bCs w:val="0"/>
          <w:i w:val="0"/>
          <w:iCs w:val="0"/>
          <w:caps w:val="0"/>
          <w:smallCaps w:val="0"/>
          <w:color w:val="2b2d38"/>
          <w:sz w:val="22"/>
          <w:szCs w:val="22"/>
          <w:lang w:val="en-US"/>
        </w:rPr>
        <w:t xml:space="preserve">for financial text. Also there is evidence showing that unverified machine-translated benchmarks may measure translation quality of true transfer [19] meaning any new parallel set must include clear quality checks. This work tackles all these gaps at once.</w:t>
      </w:r>
      <w:r/>
    </w:p>
    <w:p w14:paraId="339DB13F" w14:textId="64FE1B59">
      <w:pPr>
        <w:pStyle w:val="676"/>
        <w:pBdr/>
        <w:spacing/>
        <w:ind w:left="72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68E5B543" w14:textId="4C953D97">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METHODOLOGY</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The method has three parts, each feeding the next: construction of a four-way parallel corpus whose translation quality is measured rather than assumed; zero-shot transfer evaluation under a condition matrix fixed in advance; and attribution of every transfer failure to a single cause, followed by aggregation of those causes. Two rules hold throughout. No row is ever removed: low similarity, empty output and detected corruption are recorded as flags on the row, so translation failure remains a reported quantity rather than a silent filter. And every translation, training and scoring step takes an explicit seed and logs a hash of the configuration that produced it.</w:t>
      </w:r>
    </w:p>
    <w:p>
      <w:pPr>
        <w:pStyle w:val="681"/>
        <w:numPr>
          <w:ilvl w:val="0"/>
          <w:numId w:val="7"/>
        </w:numPr>
        <w:pBdr/>
        <w:spacing/>
        <w:ind/>
        <w:jc w:val="left"/>
        <w:rPr/>
      </w:pPr>
      <w:r>
        <w:rPr>
          <w:rFonts w:ascii="Times New Roman" w:hAnsi="Times New Roman" w:eastAsia="Times New Roman" w:cs="Times New Roman"/>
          <w:sz w:val="24"/>
          <w:szCs w:val="24"/>
        </w:rPr>
        <w:t xml:space="preserve">Source Data and Independence Audit</w:t>
      </w:r>
    </w:p>
    <w:p>
      <w:pPr>
        <w:pStyle w:val="676"/>
        <w:pBdr/>
        <w:spacing/>
        <w:ind w:left="0" w:firstLine="288"/>
        <w:jc w:val="both"/>
        <w:rPr/>
      </w:pPr>
      <w:r>
        <w:rPr>
          <w:rFonts w:ascii="Times New Roman" w:hAnsi="Times New Roman" w:eastAsia="Times New Roman" w:cs="Times New Roman"/>
          <w:sz w:val="24"/>
          <w:szCs w:val="24"/>
        </w:rPr>
        <w:t xml:space="preserve">We start from IndicFinNLP [1], which supplies three tasks natively in Hindi, Bengali and Telugu: numeral-span annotation in financial text (task 1), binary sustainability classification (task 2) and 10-class ESG-theme classification of news headlines (task 3). Row counts are given in Table I. The upstream files are kept byte-for-byte with SHA-256 checksums and are read once into Parquet.</w:t>
      </w:r>
    </w:p>
    <w:p>
      <w:pPr>
        <w:pStyle w:val="676"/>
        <w:pBdr/>
        <w:spacing/>
        <w:ind w:left="0" w:firstLine="288"/>
        <w:jc w:val="both"/>
        <w:rPr/>
      </w:pPr>
      <w:r>
        <w:rPr>
          <w:rFonts w:ascii="Times New Roman" w:hAnsi="Times New Roman" w:eastAsia="Times New Roman" w:cs="Times New Roman"/>
          <w:sz w:val="24"/>
          <w:szCs w:val="24"/>
        </w:rPr>
        <w:t xml:space="preserve">A controlled comparison requires knowing whether the three language splits hold different content or the same content. We test this before translating anything, using LaBSE [22] sentence embeddings and three tests: a structural comparison of row counts and class proportions; the cosine similarity of row-aligned pairs against an index-shuffled control, which detects parallel data that kept its row order; and, for 200 sampled source sentences, the maximum cosine over the entire target split, which still detects parallel data after shuffling or partial row loss. Because the last score is hard to interpret within one narrow domain, it is calibrated against a positive control (a split known to be parallel) and negative controls (different content in the same domain and language pair).</w:t>
      </w:r>
    </w:p>
    <w:p>
      <w:pPr>
        <w:pStyle w:val="676"/>
        <w:pBdr/>
        <w:spacing/>
        <w:ind w:left="0" w:firstLine="288"/>
        <w:jc w:val="both"/>
        <w:rPr/>
      </w:pPr>
      <w:r>
        <w:rPr>
          <w:rFonts w:ascii="Times New Roman" w:hAnsi="Times New Roman" w:eastAsia="Times New Roman" w:cs="Times New Roman"/>
          <w:sz w:val="24"/>
          <w:szCs w:val="24"/>
        </w:rPr>
        <w:t xml:space="preserve">The audit divides the tasks in two. Task 1's splits are independently sourced: their median nearest-neighbour similarity is 0.58–0.64, inside the negative-control band. Tasks 2 and 3 contain the same items in every language. For task 2, 88.5–93.5% of sampled sentences have a cross-language match at or above τ = 0.82, and for task 3 a shared URL column proves it outright. For these two tasks we therefore recover the item correspondence explicitly: task 3 by an exact URL join (532 of 532 items in all three languages), and task 2 by mutual nearest-neighbour matching on LaBSE above τ, kept only when the match is consistent across all three language pairs (1,769 items). Every aligned item carries the same gold label in all three languages. Task-2 rows that do not align stay in their splits with an </w:t>
      </w:r>
      <w:r>
        <w:rPr>
          <w:rFonts w:ascii="Times New Roman" w:hAnsi="Times New Roman" w:eastAsia="Times New Roman" w:cs="Times New Roman"/>
          <w:i/>
          <w:sz w:val="24"/>
          <w:szCs w:val="24"/>
        </w:rPr>
        <w:t xml:space="preserve">unaligned</w:t>
      </w:r>
      <w:r>
        <w:rPr>
          <w:rFonts w:ascii="Times New Roman" w:hAnsi="Times New Roman" w:eastAsia="Times New Roman" w:cs="Times New Roman"/>
          <w:sz w:val="24"/>
          <w:szCs w:val="24"/>
        </w:rPr>
        <w:t xml:space="preserve"> flag. Item identifiers are derived from content rather than row position, so a reordering upstream cannot silently re-point an identifier at a different item; in task 1 an item is a (sentence, numeral span) pair.</w:t>
      </w:r>
    </w:p>
    <w:p>
      <w:pPr>
        <w:pStyle w:val="681"/>
        <w:numPr>
          <w:ilvl w:val="0"/>
          <w:numId w:val="7"/>
        </w:numPr>
        <w:pBdr/>
        <w:spacing/>
        <w:ind/>
        <w:jc w:val="left"/>
        <w:rPr/>
      </w:pPr>
      <w:r>
        <w:rPr>
          <w:rFonts w:ascii="Times New Roman" w:hAnsi="Times New Roman" w:eastAsia="Times New Roman" w:cs="Times New Roman"/>
          <w:sz w:val="24"/>
          <w:szCs w:val="24"/>
        </w:rPr>
        <w:t xml:space="preserve">Parallel Corpus Construction</w:t>
      </w:r>
    </w:p>
    <w:p>
      <w:pPr>
        <w:pStyle w:val="676"/>
        <w:pBdr/>
        <w:spacing/>
        <w:ind w:left="0" w:firstLine="288"/>
        <w:jc w:val="both"/>
        <w:rPr/>
      </w:pPr>
      <w:r>
        <w:rPr>
          <w:rFonts w:ascii="Times New Roman" w:hAnsi="Times New Roman" w:eastAsia="Times New Roman" w:cs="Times New Roman"/>
          <w:sz w:val="24"/>
          <w:szCs w:val="24"/>
        </w:rPr>
        <w:t xml:space="preserve">Each task is built as three blocks, one per native language. Within a block, the native split is translated into the other three of Hindi, Bengali, Telugu and Malayalam, giving nine translation directions and twelve splits per task that share item identifiers and gold labels (Table I). IndicFinNLP has no Malayalam data, so Malayalam exists only as machine translation, once per block.</w:t>
      </w:r>
    </w:p>
    <w:p>
      <w:pPr>
        <w:pStyle w:val="676"/>
        <w:keepNext/>
        <w:spacing w:before="120" w:after="60"/>
        <w:ind w:left="0"/>
        <w:jc w:val="center"/>
      </w:pPr>
      <w:r>
        <w:rPr>
          <w:rFonts w:ascii="Times New Roman" w:hAnsi="Times New Roman" w:eastAsia="Times New Roman" w:cs="Times New Roman"/>
          <w:sz w:val="20"/>
          <w:szCs w:val="20"/>
        </w:rPr>
        <w:t xml:space="preserve">TABLE I. TRANSLATION BLOCKS AND ROW COUNTS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900"/>
        <w:gridCol w:w="1500"/>
        <w:gridCol w:w="2760"/>
        <w:gridCol w:w="1400"/>
        <w:gridCol w:w="1400"/>
        <w:gridCol w:w="1400"/>
      </w:tblGrid>
      <w:tr>
        <w:trPr>
          <w:tblHeader/>
        </w:trPr>
        <w:tc>
          <w:tcPr>
            <w:tcW w:w="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Block</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Native source</w:t>
            </w:r>
          </w:p>
        </w:tc>
        <w:tc>
          <w:tcPr>
            <w:tcW w:w="27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MT targets</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1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H</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Bengali,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10,640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2,238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B</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Malayalam, Telugu</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6,130</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2,228</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Pr>
          <w:p>
            <w:pPr>
              <w:pStyle w:val="676"/>
              <w:spacing w:before="20" w:after="20"/>
              <w:ind w:left="0"/>
              <w:jc w:val="left"/>
            </w:pPr>
            <w:r>
              <w:rPr>
                <w:rFonts w:ascii="Times New Roman" w:hAnsi="Times New Roman" w:eastAsia="Times New Roman" w:cs="Times New Roman"/>
                <w:sz w:val="20"/>
                <w:szCs w:val="20"/>
              </w:rPr>
              <w:t xml:space="preserve">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2760" w:type="dxa"/>
          </w:tcPr>
          <w:p>
            <w:pPr>
              <w:pStyle w:val="676"/>
              <w:spacing w:before="20" w:after="20"/>
              <w:ind w:left="0"/>
              <w:jc w:val="center"/>
            </w:pPr>
            <w:r>
              <w:rPr>
                <w:rFonts w:ascii="Times New Roman" w:hAnsi="Times New Roman" w:eastAsia="Times New Roman" w:cs="Times New Roman"/>
                <w:sz w:val="20"/>
                <w:szCs w:val="20"/>
              </w:rPr>
              <w:t xml:space="preserve">Hindi, Bengali, Malayalam</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6,016</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2,072</w:t>
            </w:r>
          </w:p>
        </w:tc>
        <w:tc>
          <w:tcPr>
            <w:tcW w:w="1400" w:type="dxa"/>
          </w:tcPr>
          <w:p>
            <w:pPr>
              <w:pStyle w:val="676"/>
              <w:spacing w:before="20" w:after="20"/>
              <w:ind w:left="0"/>
              <w:jc w:val="center"/>
            </w:pPr>
            <w:r>
              <w:rPr>
                <w:rFonts w:ascii="Times New Roman" w:hAnsi="Times New Roman" w:eastAsia="Times New Roman" w:cs="Times New Roman"/>
                <w:sz w:val="20"/>
                <w:szCs w:val="20"/>
              </w:rPr>
              <w:t xml:space="preserve">532</w:t>
            </w:r>
          </w:p>
        </w:tc>
      </w:tr>
      <w:tr>
        <w:tc>
          <w:tcPr>
            <w:tcW w:w="900" w:type="dxa"/>
            <w:tcBorders>
              <w:top w:val="single" w:sz="8" w:space="0" w:color="000000"/>
            </w:tcBorders>
          </w:tcPr>
          <w:p>
            <w:pPr>
              <w:pStyle w:val="676"/>
              <w:spacing w:before="20" w:after="20"/>
              <w:ind w:left="0"/>
              <w:jc w:val="left"/>
            </w:pPr>
            <w:r>
              <w:rPr>
                <w:rFonts w:ascii="Times New Roman" w:hAnsi="Times New Roman" w:eastAsia="Times New Roman" w:cs="Times New Roman"/>
                <w:sz w:val="20"/>
                <w:szCs w:val="20"/>
              </w:rPr>
              <w:t xml:space="preserve">MT rows</w:t>
            </w:r>
          </w:p>
        </w:tc>
        <w:tc>
          <w:tcPr>
            <w:tcW w:w="15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276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68,358</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19,614</w:t>
            </w:r>
          </w:p>
        </w:tc>
        <w:tc>
          <w:tcPr>
            <w:tcW w:w="1400" w:type="dxa"/>
            <w:tcBorders>
              <w:top w:val="single" w:sz="8" w:space="0" w:color="000000"/>
            </w:tcBorders>
          </w:tcPr>
          <w:p>
            <w:pPr>
              <w:pStyle w:val="676"/>
              <w:spacing w:before="20" w:after="20"/>
              <w:ind w:left="0"/>
              <w:jc w:val="center"/>
            </w:pPr>
            <w:r>
              <w:rPr>
                <w:rFonts w:ascii="Times New Roman" w:hAnsi="Times New Roman" w:eastAsia="Times New Roman" w:cs="Times New Roman"/>
                <w:sz w:val="20"/>
                <w:szCs w:val="20"/>
              </w:rPr>
              <w:t xml:space="preserve">4,788</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Translation uses IndicTrans2 [21] (the indic-indic 1B model) directly between Indic languages, with no English pivot: a pivot would add a second error source and make drift impossible to attribute. One decoding configuration, beam search with five beams, a maximum length of 256 and no sampling, is applied unchanged to all nine directions so their quality figures are comparable. We chose the 1B model over its 320M distilled variant after measuring output corruption on a 180-row task-1 sample: the smaller model was eight times faster but corrupted 10.0% of rows against 4.4%. Identical source sentences are translated once and the output shared. In task 1, where a sentence containing three numerals forms three items, this reduces 68,358 translations to 40,401 and ensures each sentence has exactly one translation. The corpus holds 92,760 machine-translated rows in total.</w:t>
      </w:r>
    </w:p>
    <w:p>
      <w:pPr>
        <w:pStyle w:val="676"/>
        <w:pBdr/>
        <w:spacing/>
        <w:ind w:left="0" w:firstLine="288"/>
        <w:jc w:val="both"/>
        <w:rPr/>
      </w:pPr>
      <w:r>
        <w:rPr>
          <w:rFonts w:ascii="Times New Roman" w:hAnsi="Times New Roman" w:eastAsia="Times New Roman" w:cs="Times New Roman"/>
          <w:sz w:val="24"/>
          <w:szCs w:val="24"/>
        </w:rPr>
        <w:t xml:space="preserve">Task 1's annotations are character offsets into the source string, which cannot survive a change of length and script. We re-locate the annotated numeral in each translation by value rather than by digit string, so Bengali ২৪, ASCII 24 and a grouped 25,000 are all matched, and record per row whether the span was recovered. A numeral rewritten as an equivalent quantity (for example 100 million as 10 crore) is recorded separately from one that was lost.</w:t>
      </w:r>
    </w:p>
    <w:p>
      <w:pPr>
        <w:pStyle w:val="681"/>
        <w:numPr>
          <w:ilvl w:val="0"/>
          <w:numId w:val="7"/>
        </w:numPr>
        <w:pBdr/>
        <w:spacing/>
        <w:ind/>
        <w:jc w:val="left"/>
        <w:rPr/>
      </w:pPr>
      <w:r>
        <w:rPr>
          <w:rFonts w:ascii="Times New Roman" w:hAnsi="Times New Roman" w:eastAsia="Times New Roman" w:cs="Times New Roman"/>
          <w:sz w:val="24"/>
          <w:szCs w:val="24"/>
        </w:rPr>
        <w:t xml:space="preserve">Translation Quality Gates</w:t>
      </w:r>
    </w:p>
    <w:p>
      <w:pPr>
        <w:pStyle w:val="676"/>
        <w:pBdr/>
        <w:spacing/>
        <w:ind w:left="0" w:firstLine="288"/>
        <w:jc w:val="both"/>
        <w:rPr/>
      </w:pPr>
      <w:r>
        <w:rPr>
          <w:rFonts w:ascii="Times New Roman" w:hAnsi="Times New Roman" w:eastAsia="Times New Roman" w:cs="Times New Roman"/>
          <w:sz w:val="24"/>
          <w:szCs w:val="24"/>
        </w:rPr>
        <w:t xml:space="preserve">Three automated checks are applied to every translated row. Each detects failures the others cannot.</w:t>
      </w:r>
    </w:p>
    <w:p>
      <w:pPr>
        <w:pStyle w:val="676"/>
        <w:pBdr/>
        <w:spacing/>
        <w:ind w:left="0" w:firstLine="288"/>
        <w:jc w:val="both"/>
        <w:rPr/>
      </w:pPr>
      <w:r>
        <w:rPr>
          <w:rFonts w:ascii="Times New Roman" w:hAnsi="Times New Roman" w:eastAsia="Times New Roman" w:cs="Times New Roman"/>
          <w:i/>
          <w:sz w:val="24"/>
          <w:szCs w:val="24"/>
        </w:rPr>
        <w:t xml:space="preserve">Numeral and entity preservation.</w:t>
      </w:r>
      <w:r>
        <w:rPr>
          <w:rFonts w:ascii="Times New Roman" w:hAnsi="Times New Roman" w:eastAsia="Times New Roman" w:cs="Times New Roman"/>
          <w:sz w:val="24"/>
          <w:szCs w:val="24"/>
        </w:rPr>
        <w:t xml:space="preserve"> Numerals, currency symbols, percentages and lakh/crore scale terms are compared by value across digit systems, after the scale word is applied on both sides, so that equivalent quantities compare equal. A comma is read as a thousands separator only when exactly three digits follow it. Rows already flagged as corrupted are excluded from the preservation rate, so that their loss is not attributed to numeral handling, and any direction below 95% preservation is flagged.</w:t>
      </w:r>
    </w:p>
    <w:p>
      <w:pPr>
        <w:pStyle w:val="676"/>
        <w:pBdr/>
        <w:spacing/>
        <w:ind w:left="0" w:firstLine="288"/>
        <w:jc w:val="both"/>
        <w:rPr/>
      </w:pPr>
      <w:r>
        <w:rPr>
          <w:rFonts w:ascii="Times New Roman" w:hAnsi="Times New Roman" w:eastAsia="Times New Roman" w:cs="Times New Roman"/>
          <w:i/>
          <w:sz w:val="24"/>
          <w:szCs w:val="24"/>
        </w:rPr>
        <w:t xml:space="preserve">Structural integrity.</w:t>
      </w:r>
      <w:r>
        <w:rPr>
          <w:rFonts w:ascii="Times New Roman" w:hAnsi="Times New Roman" w:eastAsia="Times New Roman" w:cs="Times New Roman"/>
          <w:sz w:val="24"/>
          <w:szCs w:val="24"/>
        </w:rPr>
        <w:t xml:space="preserve"> Blocking checks require every block to join four ways on item identifier, every translated row to carry its source's label, and native text to be free of encoding damage; any failure stops the pipeline. Non-blocking checks flag script leakage (characters from another Indic script block, excluding the shared danda), two corruption modes we observed in IndicTrans2 output, namely unrestored entity placeholders and nukta characters emitted as literal Unicode escapes, and suspected truncation, judged at half of each direction's own median length ratio. A leak is counted only when the source text is clean.</w:t>
      </w:r>
    </w:p>
    <w:p>
      <w:pPr>
        <w:pStyle w:val="676"/>
        <w:pBdr/>
        <w:spacing/>
        <w:ind w:left="0" w:firstLine="288"/>
        <w:jc w:val="both"/>
        <w:rPr/>
      </w:pPr>
      <w:r>
        <w:rPr>
          <w:rFonts w:ascii="Times New Roman" w:hAnsi="Times New Roman" w:eastAsia="Times New Roman" w:cs="Times New Roman"/>
          <w:i/>
          <w:sz w:val="24"/>
          <w:szCs w:val="24"/>
        </w:rPr>
        <w:t xml:space="preserve">Semantic similarity.</w:t>
      </w:r>
      <w:r>
        <w:rPr>
          <w:rFonts w:ascii="Times New Roman" w:hAnsi="Times New Roman" w:eastAsia="Times New Roman" w:cs="Times New Roman"/>
          <w:sz w:val="24"/>
          <w:szCs w:val="24"/>
        </w:rPr>
        <w:t xml:space="preserve"> Source and translation are embedded with LaBSE and compared by cosine similarity over all 92,760 pairs, with no sampling:</w:t>
      </w:r>
    </w:p>
    <w:p>
      <w:pPr>
        <w:pStyle w:val="676"/>
        <w:tabs>
          <w:tab w:val="center" w:pos="4680"/>
          <w:tab w:val="right" w:pos="9360"/>
        </w:tabs>
        <w:spacing w:before="60" w:after="60"/>
        <w:ind w:left="0"/>
      </w:pPr>
      <w:r>
        <w:tab/>
      </w:r>
      <m:oMath>
        <m:r>
          <m:rPr>
            <m:sty m:val="p"/>
          </m:rPr>
          <w:rPr>
            <w:rFonts w:ascii="Times New Roman" w:hAnsi="Times New Roman" w:eastAsia="Times New Roman" w:cs="Times New Roman"/>
          </w:rPr>
          <m:t xml:space="preserve">cos</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r>
          <w:rPr>
            <w:rFonts w:ascii="Times New Roman" w:hAnsi="Times New Roman" w:eastAsia="Times New Roman" w:cs="Times New Roman"/>
          </w:rPr>
          <m:t xml:space="preserve"> = </m:t>
        </m:r>
        <m:f>
          <m:num>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num>
          <m:den>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s</m:t>
                    </m:r>
                  </m:sub>
                </m:sSub>
              </m:e>
            </m:d>
            <m:d>
              <m:dPr>
                <m:begChr m:val="‖"/>
                <m:endChr m:val="‖"/>
              </m:dPr>
              <m:e>
                <m:sSub>
                  <m:e>
                    <m:r>
                      <w:rPr>
                        <w:rFonts w:ascii="Times New Roman" w:hAnsi="Times New Roman" w:eastAsia="Times New Roman" w:cs="Times New Roman"/>
                      </w:rPr>
                      <m:t xml:space="preserve">e</m:t>
                    </m:r>
                  </m:e>
                  <m:sub>
                    <m:r>
                      <w:rPr>
                        <w:rFonts w:ascii="Times New Roman" w:hAnsi="Times New Roman" w:eastAsia="Times New Roman" w:cs="Times New Roman"/>
                      </w:rPr>
                      <m:t xml:space="preserve">t</m:t>
                    </m:r>
                  </m:sub>
                </m:sSub>
              </m:e>
            </m:d>
          </m:den>
        </m:f>
      </m:oMath>
      <w:r>
        <w:rPr>
          <w:rFonts w:ascii="Times New Roman" w:hAnsi="Times New Roman" w:eastAsia="Times New Roman" w:cs="Times New Roman"/>
          <w:sz w:val="24"/>
        </w:rPr>
        <w:tab/>
        <w:t>(1)</w:t>
      </w:r>
    </w:p>
    <w:p>
      <w:pPr>
        <w:pStyle w:val="676"/>
        <w:pBdr/>
        <w:spacing/>
        <w:ind w:left="0" w:firstLine="288"/>
        <w:jc w:val="both"/>
        <w:rPr/>
      </w:pPr>
      <w:r>
        <w:rPr>
          <w:rFonts w:ascii="Times New Roman" w:hAnsi="Times New Roman" w:eastAsia="Times New Roman" w:cs="Times New Roman"/>
          <w:sz w:val="24"/>
          <w:szCs w:val="24"/>
        </w:rPr>
        <w:t xml:space="preserve">where </w:t>
      </w:r>
      <w:r>
        <w:rPr>
          <w:rFonts w:ascii="Times New Roman" w:hAnsi="Times New Roman" w:eastAsia="Times New Roman" w:cs="Times New Roman"/>
          <w:i/>
          <w:sz w:val="24"/>
          <w:szCs w:val="24"/>
        </w:rPr>
        <w:t xml:space="preserve">e</w:t>
      </w:r>
      <w:r>
        <w:rPr>
          <w:rFonts w:ascii="Times New Roman" w:hAnsi="Times New Roman" w:eastAsia="Times New Roman" w:cs="Times New Roman"/>
          <w:sz w:val="24"/>
          <w:szCs w:val="24"/>
        </w:rPr>
        <w:t xml:space="preserve"> is the LaBSE embedding of text </w:t>
      </w:r>
      <w:r>
        <w:rPr>
          <w:rFonts w:ascii="Times New Roman" w:hAnsi="Times New Roman" w:eastAsia="Times New Roman" w:cs="Times New Roman"/>
          <w:i/>
          <w:sz w:val="24"/>
          <w:szCs w:val="24"/>
        </w:rPr>
        <w:t xml:space="preserve">x</w:t>
      </w:r>
      <w:r>
        <w:rPr>
          <w:rFonts w:ascii="Times New Roman" w:hAnsi="Times New Roman" w:eastAsia="Times New Roman" w:cs="Times New Roman"/>
          <w:sz w:val="24"/>
          <w:szCs w:val="24"/>
        </w:rPr>
        <w:t xml:space="preserve">. Rows whose similarity falls below τ are flagged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For tasks 2 and 3, the native split in the target language is a human translation of the same item. This allows τ to be calibrated: a human translation is a known-good pair, so τ should accept nearly all of them. τ = 0.82 accepts every human pair on task 2 but rejects 23.4% on task 3, whose headlines are short and score lower for that reason alone. τ is therefore set per task: 0.82 for task 2 (confirmed), 0.73 for task 3 (the value that accepts 95% of human pairs), and 0.82 for task 1, inherited rather than calibrated because no human reference exists for it. Malayalam targets have no reference either.</w:t>
      </w:r>
    </w:p>
    <w:p>
      <w:pPr>
        <w:pStyle w:val="676"/>
        <w:pBdr/>
        <w:spacing/>
        <w:ind w:left="0" w:firstLine="288"/>
        <w:jc w:val="both"/>
        <w:rPr/>
      </w:pPr>
      <w:r>
        <w:rPr>
          <w:rFonts w:ascii="Times New Roman" w:hAnsi="Times New Roman" w:eastAsia="Times New Roman" w:cs="Times New Roman"/>
          <w:sz w:val="24"/>
          <w:szCs w:val="24"/>
        </w:rPr>
        <w:t xml:space="preserve">Once a task passes its checks, its twelve splits are frozen into a read-only release with per-file SHA-256 hashes and a manifest recording the translation model, decoding configuration, similarity model and τ. The release datasheet is generated from these artefacts rather than written by hand.</w:t>
      </w:r>
    </w:p>
    <w:p>
      <w:pPr>
        <w:pStyle w:val="681"/>
        <w:numPr>
          <w:ilvl w:val="0"/>
          <w:numId w:val="7"/>
        </w:numPr>
        <w:pBdr/>
        <w:spacing/>
        <w:ind/>
        <w:jc w:val="left"/>
        <w:rPr/>
      </w:pPr>
      <w:r>
        <w:rPr>
          <w:rFonts w:ascii="Times New Roman" w:hAnsi="Times New Roman" w:eastAsia="Times New Roman" w:cs="Times New Roman"/>
          <w:sz w:val="24"/>
          <w:szCs w:val="24"/>
        </w:rPr>
        <w:t xml:space="preserve">Evaluation Conditions</w:t>
      </w:r>
    </w:p>
    <w:p>
      <w:pPr>
        <w:pStyle w:val="676"/>
        <w:pBdr/>
        <w:spacing/>
        <w:ind w:left="0" w:firstLine="288"/>
        <w:jc w:val="both"/>
        <w:rPr/>
      </w:pPr>
      <w:r>
        <w:rPr>
          <w:rFonts w:ascii="Times New Roman" w:hAnsi="Times New Roman" w:eastAsia="Times New Roman" w:cs="Times New Roman"/>
          <w:sz w:val="24"/>
          <w:szCs w:val="24"/>
        </w:rPr>
        <w:t xml:space="preserve">Transfer is evaluated on tasks 2 and 3, the two classification tasks. All conditions are fixed in advance in one condition matrix. Each task has 21: nine transfer cells, one per source and target language, evaluated on native target text where it exists; the same nine cells evaluated on machine-translated target text from the source's own block; and three translationese conditions that hold the language fixed and vary only provenance (for Hindi: native, translated from Bengali, and translated from Telugu). The transfer cells are grouped into four typological quadrants: Indo-Aryan→Indo-Aryan, Indo-Aryan→Dravidian, Dravidian→Indo-Aryan and Dravidian→Dravidian.</w:t>
      </w:r>
    </w:p>
    <w:p>
      <w:pPr>
        <w:pStyle w:val="676"/>
        <w:pBdr/>
        <w:spacing/>
        <w:ind w:left="0" w:firstLine="288"/>
        <w:jc w:val="both"/>
        <w:rPr/>
      </w:pPr>
      <w:r>
        <w:rPr>
          <w:rFonts w:ascii="Times New Roman" w:hAnsi="Times New Roman" w:eastAsia="Times New Roman" w:cs="Times New Roman"/>
          <w:sz w:val="24"/>
          <w:szCs w:val="24"/>
        </w:rPr>
        <w:t xml:space="preserve">Because tasks 2 and 3 hold the same items in every language, every transfer cell is scored on the same underlying content in the source and the target. Evaluation is restricted to one half of the items, chosen by a seeded hash of the item identifier, so every language agrees on the subset without coordination. The source model is trained on a seeded, stratified fold of its whole native split, so most evaluated items are target-language versions of sentences it saw during training in the source language. This is deliberate: holding content fixed on both sides of the gap means the gap measures what changing the language costs with sentence difficulty held constant. It is not a measure of generalisation to unseen content. A validator confirms that no split is both a training source and an evaluation target within a condition. Evaluation prefers native target text, so that a failure reflects transfer rather than translation. Malayalam evaluation must use machine translation; it is taken from a block other than the one trained on, and its provenance is recorded with each result.</w:t>
      </w:r>
    </w:p>
    <w:p>
      <w:pPr>
        <w:pStyle w:val="681"/>
        <w:numPr>
          <w:ilvl w:val="0"/>
          <w:numId w:val="7"/>
        </w:numPr>
        <w:pBdr/>
        <w:spacing/>
        <w:ind/>
        <w:jc w:val="left"/>
        <w:rPr/>
      </w:pPr>
      <w:r>
        <w:rPr>
          <w:rFonts w:ascii="Times New Roman" w:hAnsi="Times New Roman" w:eastAsia="Times New Roman" w:cs="Times New Roman"/>
          <w:sz w:val="24"/>
          <w:szCs w:val="24"/>
        </w:rPr>
        <w:t xml:space="preserve">Fine-Tuning and Zero-Shot Evaluation</w:t>
      </w:r>
    </w:p>
    <w:p>
      <w:pPr>
        <w:pStyle w:val="676"/>
        <w:pBdr/>
        <w:spacing/>
        <w:ind w:left="0" w:firstLine="288"/>
        <w:jc w:val="both"/>
        <w:rPr/>
      </w:pPr>
      <w:r>
        <w:rPr>
          <w:rFonts w:ascii="Times New Roman" w:hAnsi="Times New Roman" w:eastAsia="Times New Roman" w:cs="Times New Roman"/>
          <w:sz w:val="24"/>
          <w:szCs w:val="24"/>
        </w:rPr>
        <w:t xml:space="preserve">We compare two encoders: IndicBERT [7], the ALBERT-based model pretrained on twelve Indian languages, and multilingual BERT (mBERT, cased base) [12]. XLM-R base [13] was planned as a third, but its fixed memory cost under mixed-precision fine-tuning with AdamW (4.14 GiB of weights, gradients and optimiser state) exceeds the 3.68 GiB available on our 4 GB GPU at any batch size, so it was excluded rather than run under a different protocol. Each model is the pretrained encoder with a single linear classification head over the [CLS] representation, trained with cross-entropy loss (Table II). Training uses native, human-written text only, so no transfer measurement is contaminated by our own translations. Every configuration is run with three seeds and reported as mean ± standard deviation. The two encoders share every hyperparameter except one: mBERT on task 2 uses micro-batches of 8 with two-step gradient accumulation, forced by GPU memory, which keeps the effective batch at 16 and leaves the gradient unchanged.</w:t>
      </w:r>
    </w:p>
    <w:p>
      <w:pPr>
        <w:pStyle w:val="676"/>
        <w:keepNext/>
        <w:spacing w:before="120" w:after="60"/>
        <w:ind w:left="0"/>
        <w:jc w:val="center"/>
      </w:pPr>
      <w:r>
        <w:rPr>
          <w:rFonts w:ascii="Times New Roman" w:hAnsi="Times New Roman" w:eastAsia="Times New Roman" w:cs="Times New Roman"/>
          <w:sz w:val="20"/>
          <w:szCs w:val="20"/>
        </w:rPr>
        <w:t xml:space="preserve">TABLE II. FINE-TUNING CONFIGURATION</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960"/>
        <w:gridCol w:w="2700"/>
        <w:gridCol w:w="2700"/>
      </w:tblGrid>
      <w:tr>
        <w:trPr>
          <w:tblHeader/>
        </w:trPr>
        <w:tc>
          <w:tcPr>
            <w:tcW w:w="39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Setting</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7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Maximum sequence length</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192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64</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Batch × accumulation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 (mBERT 8 × 2)</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16 × 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Optimiser</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AdamW</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Learning rate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 × 10⁻⁵</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 × 10⁻⁵</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Weight decay</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0.01</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Warm-up</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10% of steps</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Max epochs / early-stopping patience</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20 / 5</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40 / 8</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Dev / test fraction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0.10 / 0.10</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0.15 / 0.15</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Precision</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fp16 mixed</w:t>
            </w:r>
          </w:p>
        </w:tc>
      </w:tr>
      <w:tr>
        <w:tc>
          <w:tcPr>
            <w:tcW w:w="3960" w:type="dxa"/>
          </w:tcPr>
          <w:p>
            <w:pPr>
              <w:pStyle w:val="676"/>
              <w:spacing w:before="20" w:after="20"/>
              <w:ind w:left="0"/>
              <w:jc w:val="left"/>
            </w:pPr>
            <w:r>
              <w:rPr>
                <w:rFonts w:ascii="Times New Roman" w:hAnsi="Times New Roman" w:eastAsia="Times New Roman" w:cs="Times New Roman"/>
                <w:sz w:val="20"/>
                <w:szCs w:val="20"/>
              </w:rPr>
              <w:t xml:space="preserve">Seeds</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c>
          <w:tcPr>
            <w:tcW w:w="2700" w:type="dxa"/>
          </w:tcPr>
          <w:p>
            <w:pPr>
              <w:pStyle w:val="676"/>
              <w:spacing w:before="20" w:after="20"/>
              <w:ind w:left="0"/>
              <w:jc w:val="center"/>
            </w:pPr>
            <w:r>
              <w:rPr>
                <w:rFonts w:ascii="Times New Roman" w:hAnsi="Times New Roman" w:eastAsia="Times New Roman" w:cs="Times New Roman"/>
                <w:sz w:val="20"/>
                <w:szCs w:val="20"/>
              </w:rPr>
              <w:t xml:space="preserve">3</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Each source model is first checked against IndicFinNLP's published in-language macro-F1, with a tolerance of ±0.02, and any shortfall must be diagnosed before transfer results are read. This ensures that a transfer gap cannot be an artefact of a badly trained source model.</w:t>
      </w:r>
    </w:p>
    <w:p>
      <w:pPr>
        <w:pStyle w:val="676"/>
        <w:pBdr/>
        <w:spacing/>
        <w:ind w:left="0" w:firstLine="288"/>
        <w:jc w:val="both"/>
        <w:rPr/>
      </w:pPr>
      <w:r>
        <w:rPr>
          <w:rFonts w:ascii="Times New Roman" w:hAnsi="Times New Roman" w:eastAsia="Times New Roman" w:cs="Times New Roman"/>
          <w:sz w:val="24"/>
          <w:szCs w:val="24"/>
        </w:rPr>
        <w:t xml:space="preserve">Evaluation is strictly zero-shot. Checkpoints are loaded read-only, and the inference path asserts that no optimiser exists and no gradient step is taken. Every prediction is logged per instance: item, gold label, predicted label and class probabilities. Macro-F1 is the primary metric, with accuracy and per-class F1 alongside, and 95% confidence intervals come from a 1,000-sample bootstrap over items, computed per seed. Following XTREME [14], the transfer gap from source </w:t>
      </w:r>
      <w:r>
        <w:rPr>
          <w:rFonts w:ascii="Times New Roman" w:hAnsi="Times New Roman" w:eastAsia="Times New Roman" w:cs="Times New Roman"/>
          <w:i/>
          <w:sz w:val="24"/>
          <w:szCs w:val="24"/>
        </w:rPr>
        <w:t xml:space="preserve">s</w:t>
      </w:r>
      <w:r>
        <w:rPr>
          <w:rFonts w:ascii="Times New Roman" w:hAnsi="Times New Roman" w:eastAsia="Times New Roman" w:cs="Times New Roman"/>
          <w:sz w:val="24"/>
          <w:szCs w:val="24"/>
        </w:rPr>
        <w:t xml:space="preserve"> to target </w:t>
      </w:r>
      <w:r>
        <w:rPr>
          <w:rFonts w:ascii="Times New Roman" w:hAnsi="Times New Roman" w:eastAsia="Times New Roman" w:cs="Times New Roman"/>
          <w:i/>
          <w:sz w:val="24"/>
          <w:szCs w:val="24"/>
        </w:rPr>
        <w:t xml:space="preserve">t</w:t>
      </w:r>
      <w:r>
        <w:rPr>
          <w:rFonts w:ascii="Times New Roman" w:hAnsi="Times New Roman" w:eastAsia="Times New Roman" w:cs="Times New Roman"/>
          <w:sz w:val="24"/>
          <w:szCs w:val="24"/>
        </w:rPr>
        <w:t xml:space="preserve"> is the source's in-language score minus the target score,</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Δ</m:t>
            </m:r>
          </m:e>
          <m:sub>
            <m:r>
              <w:rPr>
                <w:rFonts w:ascii="Times New Roman" w:hAnsi="Times New Roman" w:eastAsia="Times New Roman" w:cs="Times New Roman"/>
              </w:rPr>
              <m:t xml:space="preserve">s→t</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sSub>
          <m:e>
            <m:r>
              <m:rPr>
                <m:sty m:val="p"/>
              </m:rPr>
              <w:rPr>
                <w:rFonts w:ascii="Times New Roman" w:hAnsi="Times New Roman" w:eastAsia="Times New Roman" w:cs="Times New Roman"/>
              </w:rPr>
              <m:t xml:space="preserve">F1</m:t>
            </m:r>
          </m:e>
          <m:sub>
            <m:r>
              <w:rPr>
                <w:rFonts w:ascii="Times New Roman" w:hAnsi="Times New Roman" w:eastAsia="Times New Roman" w:cs="Times New Roman"/>
              </w:rPr>
              <m:t xml:space="preserve">t</m:t>
            </m:r>
          </m:sub>
        </m:sSub>
      </m:oMath>
      <w:r>
        <w:rPr>
          <w:rFonts w:ascii="Times New Roman" w:hAnsi="Times New Roman" w:eastAsia="Times New Roman" w:cs="Times New Roman"/>
          <w:sz w:val="24"/>
        </w:rPr>
        <w:tab/>
        <w:t>(2)</w:t>
      </w:r>
    </w:p>
    <w:p>
      <w:pPr>
        <w:pStyle w:val="676"/>
        <w:pBdr/>
        <w:spacing/>
        <w:ind w:left="0" w:firstLine="288"/>
        <w:jc w:val="both"/>
        <w:rPr/>
      </w:pPr>
      <w:r>
        <w:rPr>
          <w:rFonts w:ascii="Times New Roman" w:hAnsi="Times New Roman" w:eastAsia="Times New Roman" w:cs="Times New Roman"/>
          <w:sz w:val="24"/>
          <w:szCs w:val="24"/>
        </w:rPr>
        <w:t xml:space="preserve">computed on the same underlying items wherever alignment allows, so each model is measured against its own ceiling on identical content. Because those items are largely the source model's training text, the in-language score is a training-text ceiling rather than a held-out estimate; held-out in-language performance is reported separately as the baseline. A gap smaller than its own seed standard deviation is not reported as a finding. With 21 conditions and three seeds there are 63 results per encoder and task, 126 per task. Comparisons between source languages leave out seeds whose source model never moved from its initialisation: such a model scores equally badly in every language, so its near-zero gap would rank it as the best source. These seeds are named in the results and remain in every other figure.</w:t>
      </w:r>
    </w:p>
    <w:p>
      <w:pPr>
        <w:pStyle w:val="681"/>
        <w:numPr>
          <w:ilvl w:val="0"/>
          <w:numId w:val="7"/>
        </w:numPr>
        <w:pBdr/>
        <w:spacing/>
        <w:ind/>
        <w:jc w:val="left"/>
        <w:rPr/>
      </w:pPr>
      <w:r>
        <w:rPr>
          <w:rFonts w:ascii="Times New Roman" w:hAnsi="Times New Roman" w:eastAsia="Times New Roman" w:cs="Times New Roman"/>
          <w:sz w:val="24"/>
          <w:szCs w:val="24"/>
        </w:rPr>
        <w:t xml:space="preserve">Transfer-Failure Diagnostics</w:t>
      </w:r>
    </w:p>
    <w:p>
      <w:pPr>
        <w:pStyle w:val="676"/>
        <w:pBdr/>
        <w:spacing/>
        <w:ind w:left="0" w:firstLine="288"/>
        <w:jc w:val="both"/>
        <w:rPr/>
      </w:pPr>
      <w:r>
        <w:rPr>
          <w:rFonts w:ascii="Times New Roman" w:hAnsi="Times New Roman" w:eastAsia="Times New Roman" w:cs="Times New Roman"/>
          <w:sz w:val="24"/>
          <w:szCs w:val="24"/>
        </w:rPr>
        <w:t xml:space="preserve">A transfer failure is an instance that the model classified correctly in the source language and incorrectly in the target:</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r>
          <w:rPr>
            <w:rFonts w:ascii="Times New Roman" w:hAnsi="Times New Roman" w:eastAsia="Times New Roman" w:cs="Times New Roman"/>
          </w:rPr>
          <m:t xml:space="preserve">  ∧  </m:t>
        </m:r>
        <m:sSub>
          <m:e>
            <m:r>
              <w:rPr>
                <w:rFonts w:ascii="Times New Roman" w:hAnsi="Times New Roman" w:eastAsia="Times New Roman" w:cs="Times New Roman"/>
              </w:rPr>
              <m:t xml:space="preserve">ŷ</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 ≠ </m:t>
        </m:r>
        <m:r>
          <w:rPr>
            <w:rFonts w:ascii="Times New Roman" w:hAnsi="Times New Roman" w:eastAsia="Times New Roman" w:cs="Times New Roman"/>
          </w:rPr>
          <m:t xml:space="preserve">y</m:t>
        </m:r>
      </m:oMath>
      <w:r>
        <w:rPr>
          <w:rFonts w:ascii="Times New Roman" w:hAnsi="Times New Roman" w:eastAsia="Times New Roman" w:cs="Times New Roman"/>
          <w:sz w:val="24"/>
        </w:rPr>
        <w:tab/>
        <w:t>(3)</w:t>
      </w:r>
    </w:p>
    <w:p>
      <w:pPr>
        <w:pStyle w:val="676"/>
        <w:pBdr/>
        <w:spacing/>
        <w:ind w:left="0" w:firstLine="288"/>
        <w:jc w:val="both"/>
        <w:rPr/>
      </w:pPr>
      <w:r>
        <w:rPr>
          <w:rFonts w:ascii="Times New Roman" w:hAnsi="Times New Roman" w:eastAsia="Times New Roman" w:cs="Times New Roman"/>
          <w:sz w:val="24"/>
          <w:szCs w:val="24"/>
        </w:rPr>
        <w:t xml:space="preserve">Predictions are joined on (item, seed), so a source prediction is never paired with a target prediction from a different seed. Because the model answered this exact item correctly in the source language, lack of task ability and item difficulty are ruled out by construction.</w:t>
      </w:r>
    </w:p>
    <w:p>
      <w:pPr>
        <w:pStyle w:val="676"/>
        <w:pBdr/>
        <w:spacing/>
        <w:ind w:left="0" w:firstLine="288"/>
        <w:jc w:val="both"/>
        <w:rPr/>
      </w:pPr>
      <w:r>
        <w:rPr>
          <w:rFonts w:ascii="Times New Roman" w:hAnsi="Times New Roman" w:eastAsia="Times New Roman" w:cs="Times New Roman"/>
          <w:sz w:val="24"/>
          <w:szCs w:val="24"/>
        </w:rPr>
        <w:t xml:space="preserve">Each failure receives exactly one cause label from an ordered router, together with an audit trail of every module that fired. </w:t>
      </w:r>
      <w:r>
        <w:rPr>
          <w:rFonts w:ascii="Times New Roman" w:hAnsi="Times New Roman" w:eastAsia="Times New Roman" w:cs="Times New Roman"/>
          <w:i/>
          <w:sz w:val="24"/>
          <w:szCs w:val="24"/>
        </w:rPr>
        <w:t xml:space="preserve">Stage 1</w:t>
      </w:r>
      <w:r>
        <w:rPr>
          <w:rFonts w:ascii="Times New Roman" w:hAnsi="Times New Roman" w:eastAsia="Times New Roman" w:cs="Times New Roman"/>
          <w:sz w:val="24"/>
          <w:szCs w:val="24"/>
        </w:rPr>
        <w:t xml:space="preserve"> is a semantic gate: if the LaBSE similarity between the source and target texts is below τ, the failure is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and goes no further. This ordering is central to the design. If the linguistic modules ran first, noise from our own translations would be attributed to tokenisation or morphology. The gate reuses the corpus similarity module unchanged.</w:t>
      </w:r>
    </w:p>
    <w:p>
      <w:pPr>
        <w:pStyle w:val="676"/>
        <w:pBdr/>
        <w:spacing/>
        <w:ind w:left="0" w:firstLine="288"/>
        <w:jc w:val="both"/>
        <w:rPr/>
      </w:pPr>
      <w:r>
        <w:rPr>
          <w:rFonts w:ascii="Times New Roman" w:hAnsi="Times New Roman" w:eastAsia="Times New Roman" w:cs="Times New Roman"/>
          <w:i/>
          <w:sz w:val="24"/>
          <w:szCs w:val="24"/>
        </w:rPr>
        <w:t xml:space="preserve">Stage 2</w:t>
      </w:r>
      <w:r>
        <w:rPr>
          <w:rFonts w:ascii="Times New Roman" w:hAnsi="Times New Roman" w:eastAsia="Times New Roman" w:cs="Times New Roman"/>
          <w:sz w:val="24"/>
          <w:szCs w:val="24"/>
        </w:rPr>
        <w:t xml:space="preserve"> attributes the remaining failures to linguistic properties of the target text. Tokenizer fragmentation is measured with the encoder's own tokenizer,</w:t>
      </w:r>
    </w:p>
    <w:p>
      <w:pPr>
        <w:pStyle w:val="676"/>
        <w:tabs>
          <w:tab w:val="center" w:pos="4680"/>
          <w:tab w:val="right" w:pos="9360"/>
        </w:tabs>
        <w:spacing w:before="60" w:after="60"/>
        <w:ind w:left="0"/>
      </w:pPr>
      <w:r>
        <w:tab/>
      </w:r>
      <m:oMath>
        <m:sSub>
          <m:e>
            <m:r>
              <w:rPr>
                <w:rFonts w:ascii="Times New Roman" w:hAnsi="Times New Roman" w:eastAsia="Times New Roman" w:cs="Times New Roman"/>
              </w:rPr>
              <m:t xml:space="preserve">R</m:t>
            </m:r>
          </m:e>
          <m:sub>
            <m:r>
              <m:rPr>
                <m:sty m:val="p"/>
              </m:rPr>
              <w:rPr>
                <w:rFonts w:ascii="Times New Roman" w:hAnsi="Times New Roman" w:eastAsia="Times New Roman" w:cs="Times New Roman"/>
              </w:rPr>
              <m:t xml:space="preserve">frag</m:t>
            </m:r>
          </m:sub>
        </m:sSub>
        <m:r>
          <w:rPr>
            <w:rFonts w:ascii="Times New Roman" w:hAnsi="Times New Roman" w:eastAsia="Times New Roman" w:cs="Times New Roman"/>
          </w:rPr>
          <m:t xml:space="preserve"> = </m:t>
        </m:r>
        <m:f>
          <m:num>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t</m:t>
                    </m:r>
                  </m:sub>
                </m:sSub>
                <m:r>
                  <w:rPr>
                    <w:rFonts w:ascii="Times New Roman" w:hAnsi="Times New Roman" w:eastAsia="Times New Roman" w:cs="Times New Roman"/>
                  </w:rPr>
                  <m:t xml:space="preserve">)</m:t>
                </m:r>
              </m:e>
            </m:d>
          </m:num>
          <m:den>
            <m:d>
              <m:dPr>
                <m:begChr m:val="|"/>
                <m:endChr m:val="|"/>
              </m:dPr>
              <m:e>
                <m:r>
                  <m:rPr>
                    <m:sty m:val="p"/>
                  </m:rPr>
                  <w:rPr>
                    <w:rFonts w:ascii="Times New Roman" w:hAnsi="Times New Roman" w:eastAsia="Times New Roman" w:cs="Times New Roman"/>
                  </w:rPr>
                  <m:t xml:space="preserve">tok</m:t>
                </m:r>
                <m:r>
                  <w:rPr>
                    <w:rFonts w:ascii="Times New Roman" w:hAnsi="Times New Roman" w:eastAsia="Times New Roman" w:cs="Times New Roman"/>
                  </w:rPr>
                  <m:t xml:space="preserve">(</m:t>
                </m:r>
                <m:sSub>
                  <m:e>
                    <m:r>
                      <w:rPr>
                        <w:rFonts w:ascii="Times New Roman" w:hAnsi="Times New Roman" w:eastAsia="Times New Roman" w:cs="Times New Roman"/>
                      </w:rPr>
                      <m:t xml:space="preserve">x</m:t>
                    </m:r>
                  </m:e>
                  <m:sub>
                    <m:r>
                      <w:rPr>
                        <w:rFonts w:ascii="Times New Roman" w:hAnsi="Times New Roman" w:eastAsia="Times New Roman" w:cs="Times New Roman"/>
                      </w:rPr>
                      <m:t xml:space="preserve">s</m:t>
                    </m:r>
                  </m:sub>
                </m:sSub>
                <m:r>
                  <w:rPr>
                    <w:rFonts w:ascii="Times New Roman" w:hAnsi="Times New Roman" w:eastAsia="Times New Roman" w:cs="Times New Roman"/>
                  </w:rPr>
                  <m:t xml:space="preserve">)</m:t>
                </m:r>
              </m:e>
            </m:d>
          </m:den>
        </m:f>
      </m:oMath>
      <w:r>
        <w:rPr>
          <w:rFonts w:ascii="Times New Roman" w:hAnsi="Times New Roman" w:eastAsia="Times New Roman" w:cs="Times New Roman"/>
          <w:sz w:val="24"/>
        </w:rPr>
        <w:tab/>
        <w:t>(4)</w:t>
      </w:r>
    </w:p>
    <w:p>
      <w:pPr>
        <w:pStyle w:val="676"/>
        <w:pBdr/>
        <w:spacing/>
        <w:ind w:left="0" w:firstLine="288"/>
        <w:jc w:val="both"/>
        <w:rPr/>
      </w:pPr>
      <w:r>
        <w:rPr>
          <w:rFonts w:ascii="Times New Roman" w:hAnsi="Times New Roman" w:eastAsia="Times New Roman" w:cs="Times New Roman"/>
          <w:sz w:val="24"/>
          <w:szCs w:val="24"/>
        </w:rPr>
        <w:t xml:space="preserve">and the module fires when </w:t>
      </w:r>
      <w:r>
        <w:rPr>
          <w:rFonts w:ascii="Times New Roman" w:hAnsi="Times New Roman" w:eastAsia="Times New Roman" w:cs="Times New Roman"/>
          <w:i/>
          <w:sz w:val="24"/>
          <w:szCs w:val="24"/>
        </w:rPr>
        <w:t xml:space="preserve">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Morphological masking fires when a financial term from an 18-concept ESG lexicon (curated in Hindi and translated with the corpus translation model) appears in the target only inside an inflected form, its root masked by bound morphology. Stems come from the Indic NLP Library's morphological analyser, falling back to rule-based suffix stripping where no analyser exists; Universal Dependencies has no Malayalam treebank. A stem matches only exactly, with its final codepoint dropped, or with one added vowel sign. Terminology gap fires when Integrated Gradients attributions, computed against a zero-embedding baseline, diverge between the source item and its target counterpart. Its threshold is set per task and encoder at the 95th percentile of divergence on pairs the model classified correctly in both languages, and an attribution whose completeness error exceeds 5% is marked unconverged and never fires. A planned orthographic and numeral-mismatch module was dropped after an audit showed that items whose digit system differs between native and machine-translated text fail at or below the base rate.</w:t>
      </w:r>
    </w:p>
    <w:p>
      <w:pPr>
        <w:pStyle w:val="676"/>
        <w:pBdr/>
        <w:spacing/>
        <w:ind w:left="0" w:firstLine="288"/>
        <w:jc w:val="both"/>
        <w:rPr/>
      </w:pPr>
      <w:r>
        <w:rPr>
          <w:rFonts w:ascii="Times New Roman" w:hAnsi="Times New Roman" w:eastAsia="Times New Roman" w:cs="Times New Roman"/>
          <w:i/>
          <w:sz w:val="24"/>
          <w:szCs w:val="24"/>
        </w:rPr>
        <w:t xml:space="preserve">Stage 3</w:t>
      </w:r>
      <w:r>
        <w:rPr>
          <w:rFonts w:ascii="Times New Roman" w:hAnsi="Times New Roman" w:eastAsia="Times New Roman" w:cs="Times New Roman"/>
          <w:sz w:val="24"/>
          <w:szCs w:val="24"/>
        </w:rPr>
        <w:t xml:space="preserve"> claims only what Stages 1 and 2 leave unattributed. It describes a failure by the item or the model rather than by the target sentence: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same item and seed is correct on the twin target of the other provenance),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(the item fails in all three targets of the same source),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(the run predicts one class for at least 75% of the condition's rows, and the failure is that class) and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(another seed classified the item correctly). Precedence is fixed as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tokenizer_fragmentation</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morphological_masking</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class_collapse</w:t>
      </w:r>
      <w:r>
        <w:rPr>
          <w:rFonts w:ascii="Times New Roman" w:hAnsi="Times New Roman" w:eastAsia="Times New Roman" w:cs="Times New Roman"/>
          <w:sz w:val="24"/>
          <w:szCs w:val="24"/>
        </w:rPr>
        <w:t xml:space="preserve">,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and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Each label belongs to one of four groups: linguistic, data, model or unattributed. The </w:t>
      </w:r>
      <w:r>
        <w:rPr>
          <w:rFonts w:ascii="Times New Roman" w:hAnsi="Times New Roman" w:eastAsia="Times New Roman" w:cs="Times New Roman"/>
          <w:i/>
          <w:sz w:val="24"/>
          <w:szCs w:val="24"/>
        </w:rPr>
        <w:t xml:space="preserve">unattributed</w:t>
      </w:r>
      <w:r>
        <w:rPr>
          <w:rFonts w:ascii="Times New Roman" w:hAnsi="Times New Roman" w:eastAsia="Times New Roman" w:cs="Times New Roman"/>
          <w:sz w:val="24"/>
          <w:szCs w:val="24"/>
        </w:rPr>
        <w:t xml:space="preserve"> share is reported as an outcome, not hidden. Labels were spot-checked by hand on 200 failures, 50 per target language.</w:t>
      </w:r>
    </w:p>
    <w:p>
      <w:pPr>
        <w:pStyle w:val="681"/>
        <w:numPr>
          <w:ilvl w:val="0"/>
          <w:numId w:val="7"/>
        </w:numPr>
        <w:pBdr/>
        <w:spacing/>
        <w:ind/>
        <w:jc w:val="left"/>
        <w:rPr/>
      </w:pPr>
      <w:r>
        <w:rPr>
          <w:rFonts w:ascii="Times New Roman" w:hAnsi="Times New Roman" w:eastAsia="Times New Roman" w:cs="Times New Roman"/>
          <w:sz w:val="24"/>
          <w:szCs w:val="24"/>
        </w:rPr>
        <w:t xml:space="preserve">Aggregation and Finding Rule</w:t>
      </w:r>
    </w:p>
    <w:p>
      <w:pPr>
        <w:pStyle w:val="676"/>
        <w:pBdr/>
        <w:spacing/>
        <w:ind w:left="0" w:firstLine="288"/>
        <w:jc w:val="both"/>
        <w:rPr/>
      </w:pPr>
      <w:r>
        <w:rPr>
          <w:rFonts w:ascii="Times New Roman" w:hAnsi="Times New Roman" w:eastAsia="Times New Roman" w:cs="Times New Roman"/>
          <w:sz w:val="24"/>
          <w:szCs w:val="24"/>
        </w:rPr>
        <w:t xml:space="preserve">The unit of analysis is a failed (item, seed) row, and a group's share of a label is the fraction of its failures that carry it. Shares therefore describe what failures consist of. Labels are not compared against correct predictions, so a share does not show that a property makes failure more likely. Each share carries a 95% bootstrap interval that resamples (condition, item) clusters, so an item failing on all three seeds counts once. Groups are compared by target direction, source language, encoder and text provenance. A difference counts as a finding only if the two intervals do not overlap and the difference points the same way on both encoders (on both tasks, for the encoder comparison). This rule was fixed before any table was read. Every comparison is repeated without the source runs that never trained. A difference that a known measurement limit could produce on its own is reported with that caveat attached; for example, Hindi targets can never receive the morphological label, because Hindi writes postpositions as separate words.</w:t>
      </w:r>
    </w:p>
    <w:p>
      <w:pPr>
        <w:pStyle w:val="681"/>
        <w:numPr>
          <w:ilvl w:val="0"/>
          <w:numId w:val="7"/>
        </w:numPr>
        <w:pBdr/>
        <w:spacing/>
        <w:ind/>
        <w:jc w:val="left"/>
        <w:rPr/>
      </w:pPr>
      <w:r>
        <w:rPr>
          <w:rFonts w:ascii="Times New Roman" w:hAnsi="Times New Roman" w:eastAsia="Times New Roman" w:cs="Times New Roman"/>
          <w:sz w:val="24"/>
          <w:szCs w:val="24"/>
        </w:rPr>
        <w:t xml:space="preserve">Reproducibility</w:t>
      </w:r>
    </w:p>
    <w:p>
      <w:pPr>
        <w:pStyle w:val="676"/>
        <w:pBdr/>
        <w:spacing/>
        <w:ind w:left="0" w:firstLine="288"/>
        <w:jc w:val="both"/>
        <w:rPr/>
      </w:pPr>
      <w:r>
        <w:rPr>
          <w:rFonts w:ascii="Times New Roman" w:hAnsi="Times New Roman" w:eastAsia="Times New Roman" w:cs="Times New Roman"/>
          <w:sz w:val="24"/>
          <w:szCs w:val="24"/>
        </w:rPr>
        <w:t xml:space="preserve">All corpus data is stored as Parquet. Two runs of one configuration produce byte-identical output, and every artefact records its configuration hash. All experiments ran on a single 4 GB laptop GPU (RTX 3050), which shaped three further choices: every GPU job checkpoints after each batch and resumes; batches are halved and retried on out-of-memory errors; and jobs refuse to fall back silently to the CPU, whose float32 arithmetic produces different translations from the GPU's float16.</w:t>
      </w:r>
    </w:p>
    <w:p w14:paraId="485C8C96" w14:textId="0ABA1102">
      <w:pPr>
        <w:pStyle w:val="681"/>
        <w:pBdr/>
        <w:spacing/>
        <w:ind w:left="720"/>
        <w:jc w:val="left"/>
        <w:rPr/>
      </w:pPr>
      <w:r>
        <w:rPr>
          <w:rFonts w:ascii="system-ui" w:hAnsi="system-ui" w:eastAsia="system-ui" w:cs="system-ui"/>
          <w:b w:val="0"/>
          <w:bCs w:val="0"/>
          <w:i w:val="0"/>
          <w:iCs w:val="0"/>
          <w:caps w:val="0"/>
          <w:smallCaps w:val="0"/>
          <w:color w:val="2b2d38"/>
          <w:sz w:val="22"/>
          <w:szCs w:val="22"/>
          <w:lang w:val="en-US"/>
        </w:rPr>
      </w:r>
      <w:r/>
    </w:p>
    <w:p w14:paraId="484556F6" w14:textId="10459A88">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EXPERIMENT RESULTS</w:t>
      </w:r>
      <w:r>
        <w:rPr>
          <w:rFonts w:ascii="system-ui" w:hAnsi="system-ui" w:eastAsia="system-ui" w:cs="system-ui"/>
          <w:b w:val="0"/>
          <w:bCs w:val="0"/>
          <w:i w:val="0"/>
          <w:iCs w:val="0"/>
          <w:caps w:val="0"/>
          <w:smallCaps w:val="0"/>
          <w:color w:val="2b2d38"/>
          <w:sz w:val="22"/>
          <w:szCs w:val="22"/>
          <w:lang w:val="en-US"/>
        </w:rPr>
      </w:r>
    </w:p>
    <w:p>
      <w:pPr>
        <w:pStyle w:val="676"/>
        <w:pBdr/>
        <w:spacing/>
        <w:ind w:left="0" w:firstLine="288"/>
        <w:jc w:val="both"/>
        <w:rPr/>
      </w:pPr>
      <w:r>
        <w:rPr>
          <w:rFonts w:ascii="Times New Roman" w:hAnsi="Times New Roman" w:eastAsia="Times New Roman" w:cs="Times New Roman"/>
          <w:sz w:val="24"/>
          <w:szCs w:val="24"/>
        </w:rPr>
        <w:t xml:space="preserve">We report corpus quality first, because every later number depends on it, then the in-language baselines, zero-shot transfer, the encoder and source-language comparisons, and finally the attribution of failures to causes. Unless stated otherwise, figures are means over three seeds with their standard deviation, and macro-F1 is the metric.</w:t>
      </w:r>
    </w:p>
    <w:p>
      <w:pPr>
        <w:pStyle w:val="681"/>
        <w:numPr>
          <w:ilvl w:val="0"/>
          <w:numId w:val="8"/>
        </w:numPr>
        <w:pBdr/>
        <w:spacing/>
        <w:ind/>
        <w:jc w:val="left"/>
        <w:rPr/>
      </w:pPr>
      <w:r>
        <w:rPr>
          <w:rFonts w:ascii="Times New Roman" w:hAnsi="Times New Roman" w:eastAsia="Times New Roman" w:cs="Times New Roman"/>
          <w:sz w:val="24"/>
          <w:szCs w:val="24"/>
        </w:rPr>
        <w:t xml:space="preserve">Corpus Quality</w:t>
      </w:r>
    </w:p>
    <w:p>
      <w:pPr>
        <w:pStyle w:val="676"/>
        <w:pBdr/>
        <w:spacing/>
        <w:ind w:left="0" w:firstLine="288"/>
        <w:jc w:val="both"/>
        <w:rPr/>
      </w:pPr>
      <w:r>
        <w:rPr>
          <w:rFonts w:ascii="Times New Roman" w:hAnsi="Times New Roman" w:eastAsia="Times New Roman" w:cs="Times New Roman"/>
          <w:sz w:val="24"/>
          <w:szCs w:val="24"/>
        </w:rPr>
        <w:t xml:space="preserve">All three corpora pass every blocking check. Each block joins four ways (10,640, 6,130 and 6,016 items for task 1; 2,238, 2,228 and 2,072 for task 2; 532 per block for task 3), no translated row carries a label different from its source's, and no translation came back empty. Table III summarises the non-blocking findings. Task 1 is roughly an order of magnitude worse than the other two tasks on every measure, which fits its content: it is the only task dense with numerals, named entities and nukta characters, which are exactly what the two IndicTrans2 corruption modes act on. Unrestored entity placeholders are the largest mode, at 5.2% of task-1 rows. Script leakage is almost always a brand or domain name left untranslated in the source script, so it is a translation failure rather than encoding damage.</w:t>
      </w:r>
    </w:p>
    <w:p>
      <w:pPr>
        <w:pStyle w:val="676"/>
        <w:keepNext/>
        <w:spacing w:before="120" w:after="60"/>
        <w:ind w:left="0"/>
        <w:jc w:val="center"/>
      </w:pPr>
      <w:r>
        <w:rPr>
          <w:rFonts w:ascii="Times New Roman" w:hAnsi="Times New Roman" w:eastAsia="Times New Roman" w:cs="Times New Roman"/>
          <w:sz w:val="20"/>
          <w:szCs w:val="20"/>
        </w:rPr>
        <w:t xml:space="preserve">TABLE III. TRANSLATION QUALITY BY TASK</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3360"/>
        <w:gridCol w:w="2000"/>
        <w:gridCol w:w="2000"/>
        <w:gridCol w:w="2000"/>
      </w:tblGrid>
      <w:tr>
        <w:trPr>
          <w:tblHeader/>
        </w:trPr>
        <w:tc>
          <w:tcPr>
            <w:tcW w:w="3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Measure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1</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Machine-translated rows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68,358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19,614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4,788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Placeholder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3,524 (5.2%)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18 (0.1%)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 (0.1%)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Escape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734 (1.1%)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 (&lt;0.1%)</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Script leakage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421 (0.6%)</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17 (0.4%)</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Suspected truncation</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 (1.7%)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 (&lt;0.1%)</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Below τ (translation_drift)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11,419 (16.7%)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357 (1.8%)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85 (1.8%)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τ</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 (inherited)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0.73</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Median LaBSE,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0.844–0.937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0.902–0.949</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0.859–0.908</w:t>
            </w:r>
          </w:p>
        </w:tc>
      </w:tr>
      <w:tr>
        <w:tc>
          <w:tcPr>
            <w:tcW w:w="3360" w:type="dxa"/>
          </w:tcPr>
          <w:p>
            <w:pPr>
              <w:pStyle w:val="676"/>
              <w:spacing w:before="20" w:after="20"/>
              <w:ind w:left="0"/>
              <w:jc w:val="left"/>
            </w:pPr>
            <w:r>
              <w:rPr>
                <w:rFonts w:ascii="Times New Roman" w:hAnsi="Times New Roman" w:eastAsia="Times New Roman" w:cs="Times New Roman"/>
                <w:sz w:val="20"/>
                <w:szCs w:val="20"/>
              </w:rPr>
              <w:t xml:space="preserve">Entity preservation, range over directions</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49.8–78.7%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89.5–95.7%</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77.4–97.0%</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Task 1 measures numeral survival directly (Table IV). The annotated numeral is recovered in 82.8% of translations, and on every recovered row the recovered offsets slice out exactly the annotated number. Re-checking the unrecovered rows with the value-level entity comparison separates the kinds of loss. In 9.7% of rows the output keeps digits but not the annotated value, 3.7% are corrupted, and 3.3% contain no digits at all. Only 0.4% are the same quantity rescaled. In 30 rows (0.04%) the quantity survived but recovery missed it, which bounds the error of the recovery procedure itself. Roughly one financial numeral in six therefore does not survive Indic-to-Indic translation intact.</w:t>
      </w:r>
    </w:p>
    <w:p>
      <w:pPr>
        <w:pStyle w:val="676"/>
        <w:keepNext/>
        <w:spacing w:before="120" w:after="60"/>
        <w:ind w:left="0"/>
        <w:jc w:val="center"/>
      </w:pPr>
      <w:r>
        <w:rPr>
          <w:rFonts w:ascii="Times New Roman" w:hAnsi="Times New Roman" w:eastAsia="Times New Roman" w:cs="Times New Roman"/>
          <w:sz w:val="20"/>
          <w:szCs w:val="20"/>
        </w:rPr>
        <w:t xml:space="preserve">TABLE IV. SURVIVAL OF THE ANNOTATED NUMERAL (TASK 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5360"/>
        <w:gridCol w:w="2000"/>
        <w:gridCol w:w="2000"/>
      </w:tblGrid>
      <w:tr>
        <w:trPr>
          <w:tblHeader/>
        </w:trPr>
        <w:tc>
          <w:tcPr>
            <w:tcW w:w="53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Outcome</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Rows</w:t>
            </w:r>
          </w:p>
        </w:tc>
        <w:tc>
          <w:tcPr>
            <w:tcW w:w="20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Share</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Span recovered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56,624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82.8%</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Digits present, annotated value gone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6,618</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9.7%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Output corrupted (placeholder or escape)</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2,560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3.7%</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No digits in the output</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2,234</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3.3%</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Same quantity, rescaled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292</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0.4%</w:t>
            </w:r>
          </w:p>
        </w:tc>
      </w:tr>
      <w:tr>
        <w:tc>
          <w:tcPr>
            <w:tcW w:w="5360" w:type="dxa"/>
          </w:tcPr>
          <w:p>
            <w:pPr>
              <w:pStyle w:val="676"/>
              <w:spacing w:before="20" w:after="20"/>
              <w:ind w:left="0"/>
              <w:jc w:val="left"/>
            </w:pPr>
            <w:r>
              <w:rPr>
                <w:rFonts w:ascii="Times New Roman" w:hAnsi="Times New Roman" w:eastAsia="Times New Roman" w:cs="Times New Roman"/>
                <w:sz w:val="20"/>
                <w:szCs w:val="20"/>
              </w:rPr>
              <w:t xml:space="preserve">Quantity preserved, span missed</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30</w:t>
            </w:r>
          </w:p>
        </w:tc>
        <w:tc>
          <w:tcPr>
            <w:tcW w:w="2000" w:type="dxa"/>
          </w:tcPr>
          <w:p>
            <w:pPr>
              <w:pStyle w:val="676"/>
              <w:spacing w:before="20" w:after="20"/>
              <w:ind w:left="0"/>
              <w:jc w:val="center"/>
            </w:pPr>
            <w:r>
              <w:rPr>
                <w:rFonts w:ascii="Times New Roman" w:hAnsi="Times New Roman" w:eastAsia="Times New Roman" w:cs="Times New Roman"/>
                <w:sz w:val="20"/>
                <w:szCs w:val="20"/>
              </w:rPr>
              <w:t xml:space="preserve">0.04%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Counting every numeral, currency symbol and percentage in a sentence, rather than only the annotated one, is stricter. Rows with corruption (6.2% of task 1) are excluded from this rate. Even so, no task-1 direction reaches the 95% preservation bar: rates run from 49.8% (Bengali→Malayalam) to 78.7% (Telugu→Hindi). Task 2 directions run from 89.5% to 95.7% and task 3 directions from 77.4% to 97.0%, and in both the weakest direction is Hindi→Malayalam.</w:t>
      </w:r>
    </w:p>
    <w:p>
      <w:pPr>
        <w:pStyle w:val="676"/>
        <w:pBdr/>
        <w:spacing/>
        <w:ind w:left="0" w:firstLine="288"/>
        <w:jc w:val="both"/>
        <w:rPr/>
      </w:pPr>
      <w:r>
        <w:rPr>
          <w:rFonts w:ascii="Times New Roman" w:hAnsi="Times New Roman" w:eastAsia="Times New Roman" w:cs="Times New Roman"/>
          <w:sz w:val="24"/>
          <w:szCs w:val="24"/>
        </w:rPr>
        <w:t xml:space="preserve">On LaBSE similarity, task 1 divides by source language. Hindi-source directions have median similarity 0.906–0.937 and fall below τ on 5–11% of rows. Bengali-source directions have 0.844–0.854 and fall below τ on 29–34%. This pattern appears only in task 1, the only task whose blocks hold different sentences, so it reflects the source texts as much as the translation directions.</w:t>
      </w:r>
    </w:p>
    <w:p>
      <w:pPr>
        <w:pStyle w:val="676"/>
        <w:pBdr/>
        <w:spacing/>
        <w:ind w:left="0" w:firstLine="288"/>
        <w:jc w:val="both"/>
        <w:rPr/>
      </w:pPr>
      <w:r>
        <w:rPr>
          <w:rFonts w:ascii="Times New Roman" w:hAnsi="Times New Roman" w:eastAsia="Times New Roman" w:cs="Times New Roman"/>
          <w:sz w:val="24"/>
          <w:szCs w:val="24"/>
        </w:rPr>
        <w:t xml:space="preserve">The human translations in tasks 2 and 3 make the threshold checkable. On task 2 the median human pair scores 0.921 with a 5th percentile of 0.846, and τ = 0.82 accepts all of them. On task 3 the median is 0.870 and the 5th percentile 0.729, so τ = 0.82 would reject 23.4% of human translations. The difference is text length (a median of 148 characters on task 2 against 86 on task 3), since LaBSE cosine falls as context shortens. At the calibrated τ = 0.73, task 3's drift-flagged rows fall from 740 to 85. A second result qualifies every similarity figure in this paper: machine translation scores higher than human translation of the same items, in both calibratable tasks and every language pair. On task 2, for example, Hindi→Bengali MT scores 0.950 against 0.918 for the human Bengali–Hindi pair. LaBSE cosine rewards literal translation, so it ranks directions usefully but is a poor absolute measure of adequacy.</w:t>
      </w:r>
    </w:p>
    <w:p>
      <w:pPr>
        <w:pStyle w:val="676"/>
        <w:pBdr/>
        <w:spacing/>
        <w:ind w:left="0" w:firstLine="288"/>
        <w:jc w:val="both"/>
        <w:rPr/>
      </w:pPr>
      <w:r>
        <w:rPr>
          <w:rFonts w:ascii="Times New Roman" w:hAnsi="Times New Roman" w:eastAsia="Times New Roman" w:cs="Times New Roman"/>
          <w:sz w:val="24"/>
          <w:szCs w:val="24"/>
        </w:rPr>
        <w:t xml:space="preserve">Ranking the nine directions on drift, entity preservation, corruption and truncation, by the mean of per-measure ranks so that no weights have to be invented, gives one result that holds on every task. Translating into a Dravidian language drifts more than translating from Telugu back into an Indo-Aryan one: by 2.6 points on task 1 (20.3% against 17.6%), 2.6 on task 2 (3.1% against 0.5%) and 0.6 on task 3 (2.1% against 1.5%, at its calibrated τ). Two other comparisons reverse between tasks: whether Hindi→Malayalam is worse than Bengali→Malayalam, and whether Telugu-source directions drift more than Indo-Aryan-source ones. Neither is reported as a property of the language pair.</w:t>
      </w:r>
    </w:p>
    <w:p>
      <w:pPr>
        <w:pStyle w:val="681"/>
        <w:numPr>
          <w:ilvl w:val="0"/>
          <w:numId w:val="8"/>
        </w:numPr>
        <w:pBdr/>
        <w:spacing/>
        <w:ind/>
        <w:jc w:val="left"/>
        <w:rPr/>
      </w:pPr>
      <w:r>
        <w:rPr>
          <w:rFonts w:ascii="Times New Roman" w:hAnsi="Times New Roman" w:eastAsia="Times New Roman" w:cs="Times New Roman"/>
          <w:sz w:val="24"/>
          <w:szCs w:val="24"/>
        </w:rPr>
        <w:t xml:space="preserve">In-Language Baselines</w:t>
      </w:r>
    </w:p>
    <w:p>
      <w:pPr>
        <w:pStyle w:val="676"/>
        <w:pBdr/>
        <w:spacing/>
        <w:ind w:left="0" w:firstLine="288"/>
        <w:jc w:val="both"/>
        <w:rPr/>
      </w:pPr>
      <w:r>
        <w:rPr>
          <w:rFonts w:ascii="Times New Roman" w:hAnsi="Times New Roman" w:eastAsia="Times New Roman" w:cs="Times New Roman"/>
          <w:sz w:val="24"/>
          <w:szCs w:val="24"/>
        </w:rPr>
        <w:t xml:space="preserve">Table V gives in-language macro-F1 on each held-out test fold. Five of the six IndicBERT baselines are at or above IndicFinNLP's published figure. The exception, task-2 Hindi, is 3.7 points below. Its training behaviour is healthy (training macro-F1 of at least 0.987 on every seed, test standard deviation 0.004), and we attribute the shortfall to our smaller, per-seed resampled test fold and untuned hyperparameters rather than to a modelling error. The task-3 comparison carries little weight: the published 0.05 is the score of a model that predicts one class for every item, so exceeding it shows only that our models do better than that.</w:t>
      </w:r>
    </w:p>
    <w:p>
      <w:pPr>
        <w:pStyle w:val="676"/>
        <w:keepNext/>
        <w:spacing w:before="120" w:after="60"/>
        <w:ind w:left="0"/>
        <w:jc w:val="center"/>
      </w:pPr>
      <w:r>
        <w:rPr>
          <w:rFonts w:ascii="Times New Roman" w:hAnsi="Times New Roman" w:eastAsia="Times New Roman" w:cs="Times New Roman"/>
          <w:sz w:val="20"/>
          <w:szCs w:val="20"/>
        </w:rPr>
        <w:t xml:space="preserve">TABLE V. IN-LANGUAGE MACRO-F1 ON HELD-OUT TEST FOLDS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200"/>
        <w:gridCol w:w="1560"/>
        <w:gridCol w:w="1800"/>
        <w:gridCol w:w="2400"/>
        <w:gridCol w:w="2400"/>
      </w:tblGrid>
      <w:tr>
        <w:trPr>
          <w:tblHeader/>
        </w:trPr>
        <w:tc>
          <w:tcPr>
            <w:tcW w:w="12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Task</w:t>
            </w:r>
          </w:p>
        </w:tc>
        <w:tc>
          <w:tcPr>
            <w:tcW w:w="156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Language</w:t>
            </w:r>
          </w:p>
        </w:tc>
        <w:tc>
          <w:tcPr>
            <w:tcW w:w="18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Published [1]</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0.80</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0.820 ± 0.028</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0.858 ± 0.014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2</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0.79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0.819 ± 0.015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0.860 ± 0.009</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Hindi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Bengali</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0.127 ± 0.055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0.292 ± 0.074</w:t>
            </w:r>
          </w:p>
        </w:tc>
      </w:tr>
      <w:tr>
        <w:tc>
          <w:tcPr>
            <w:tcW w:w="1200" w:type="dxa"/>
          </w:tcPr>
          <w:p>
            <w:pPr>
              <w:pStyle w:val="676"/>
              <w:spacing w:before="20" w:after="20"/>
              <w:ind w:left="0"/>
              <w:jc w:val="left"/>
            </w:pPr>
            <w:r>
              <w:rPr>
                <w:rFonts w:ascii="Times New Roman" w:hAnsi="Times New Roman" w:eastAsia="Times New Roman" w:cs="Times New Roman"/>
                <w:sz w:val="20"/>
                <w:szCs w:val="20"/>
              </w:rPr>
              <w:t xml:space="preserve">3</w:t>
            </w:r>
          </w:p>
        </w:tc>
        <w:tc>
          <w:tcPr>
            <w:tcW w:w="1560" w:type="dxa"/>
          </w:tcPr>
          <w:p>
            <w:pPr>
              <w:pStyle w:val="676"/>
              <w:spacing w:before="20" w:after="20"/>
              <w:ind w:left="0"/>
              <w:jc w:val="center"/>
            </w:pPr>
            <w:r>
              <w:rPr>
                <w:rFonts w:ascii="Times New Roman" w:hAnsi="Times New Roman" w:eastAsia="Times New Roman" w:cs="Times New Roman"/>
                <w:sz w:val="20"/>
                <w:szCs w:val="20"/>
              </w:rPr>
              <w:t xml:space="preserve">Telugu</w:t>
            </w:r>
          </w:p>
        </w:tc>
        <w:tc>
          <w:tcPr>
            <w:tcW w:w="1800" w:type="dxa"/>
          </w:tcPr>
          <w:p>
            <w:pPr>
              <w:pStyle w:val="676"/>
              <w:spacing w:before="20" w:after="20"/>
              <w:ind w:left="0"/>
              <w:jc w:val="center"/>
            </w:pPr>
            <w:r>
              <w:rPr>
                <w:rFonts w:ascii="Times New Roman" w:hAnsi="Times New Roman" w:eastAsia="Times New Roman" w:cs="Times New Roman"/>
                <w:sz w:val="20"/>
                <w:szCs w:val="20"/>
              </w:rPr>
              <w:t xml:space="preserve">0.05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0.095 ± 0.047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0.243 ± 0.036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Three of the nine task-3 IndicBERT runs never fitted their training data: Bengali seed 0 and Telugu seeds 0 and 2 peaked below 0.5 training macro-F1. On a task at its data ceiling their test scores look like a healthy run's, which is why convergence is checked on the training fold. mBERT had no such failures under identical settings. These runs remain in every all-seeds figure; over converged seeds only, task-3 Bengali and Telugu score 0.159 and 0.150.</w:t>
      </w:r>
    </w:p>
    <w:p>
      <w:pPr>
        <w:pStyle w:val="681"/>
        <w:numPr>
          <w:ilvl w:val="0"/>
          <w:numId w:val="8"/>
        </w:numPr>
        <w:pBdr/>
        <w:spacing/>
        <w:ind/>
        <w:jc w:val="left"/>
        <w:rPr/>
      </w:pPr>
      <w:r>
        <w:rPr>
          <w:rFonts w:ascii="Times New Roman" w:hAnsi="Times New Roman" w:eastAsia="Times New Roman" w:cs="Times New Roman"/>
          <w:sz w:val="24"/>
          <w:szCs w:val="24"/>
        </w:rPr>
        <w:t xml:space="preserve">Zero-Shot Transfer</w:t>
      </w:r>
    </w:p>
    <w:p>
      <w:pPr>
        <w:pStyle w:val="676"/>
        <w:pBdr/>
        <w:spacing/>
        <w:ind w:left="0" w:firstLine="288"/>
        <w:jc w:val="both"/>
        <w:rPr/>
      </w:pPr>
      <w:r>
        <w:rPr>
          <w:rFonts w:ascii="Times New Roman" w:hAnsi="Times New Roman" w:eastAsia="Times New Roman" w:cs="Times New Roman"/>
          <w:sz w:val="24"/>
          <w:szCs w:val="24"/>
        </w:rPr>
        <w:t xml:space="preserve">Table VI gives the transfer gap for every source–target pair, task and encoder. Two properties of the measurement matter when reading it. First, the in-language score the gap subtracts from is computed on the evaluation items in the source language, and about 80% of them on task 2 (70% on task 3) are in the source model's training fold. It is therefore a training-text ceiling: 0.954 for task-2 Hindi with IndicBERT, against 0.823 on the held-out fold. The gap is the loss relative to that ceiling. Second, task 3 is at its data ceiling, with 532 headlines spread over ten classes.</w:t>
      </w:r>
    </w:p>
    <w:p>
      <w:pPr>
        <w:pStyle w:val="676"/>
        <w:keepNext/>
        <w:spacing w:before="120" w:after="60"/>
        <w:ind w:left="0"/>
        <w:jc w:val="center"/>
      </w:pPr>
      <w:r>
        <w:rPr>
          <w:rFonts w:ascii="Times New Roman" w:hAnsi="Times New Roman" w:eastAsia="Times New Roman" w:cs="Times New Roman"/>
          <w:sz w:val="20"/>
          <w:szCs w:val="20"/>
        </w:rPr>
        <w:t xml:space="preserve">TABLE VI. TRANSFER GAP (SOURCE − TARGET MACRO-F1)</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2120"/>
        <w:gridCol w:w="1810"/>
        <w:gridCol w:w="1810"/>
        <w:gridCol w:w="1810"/>
        <w:gridCol w:w="1810"/>
      </w:tblGrid>
      <w:tr>
        <w:trPr>
          <w:tblHeader/>
        </w:trPr>
        <w:tc>
          <w:tcPr>
            <w:tcW w:w="212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Direction</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2 mBERT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IndicBERT</w:t>
            </w:r>
          </w:p>
        </w:tc>
        <w:tc>
          <w:tcPr>
            <w:tcW w:w="181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Task 3 mBERT</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0.448 ± 0.072</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0.142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0.510 ± 0.168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0.049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0.453 ± 0.038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0.236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0.514 ± 0.170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0.516 ± 0.073</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Hindi→Malayalam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0.387 ± 0.057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0.209 ± 0.007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0.184</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0.561 ± 0.050</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0.263 ± 0.053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0.105 ± 0.023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0.163ᵃ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0.494 ± 0.004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Bengali→Telugu</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0.404 ± 0.015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0.176 ± 0.010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0.504 ± 0.132ᵃ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0.523 ± 0.019</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Bengali→Malayalam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0.367 ± 0.043</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0.179 ± 0.028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0.515 ± 0.115ᵃ</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0.538 ± 0.031</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Telugu→Hindi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0.361 ± 0.105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0.159 ± 0.060</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0.489 ± 0.025</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Telugu→Bengali</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0.323 ± 0.047</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0.196 ± 0.058</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0.478ᵇ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0.524 ± 0.034</w:t>
            </w:r>
          </w:p>
        </w:tc>
      </w:tr>
      <w:tr>
        <w:tc>
          <w:tcPr>
            <w:tcW w:w="2120" w:type="dxa"/>
          </w:tcPr>
          <w:p>
            <w:pPr>
              <w:pStyle w:val="676"/>
              <w:spacing w:before="20" w:after="20"/>
              <w:ind w:left="0"/>
              <w:jc w:val="left"/>
            </w:pPr>
            <w:r>
              <w:rPr>
                <w:rFonts w:ascii="Times New Roman" w:hAnsi="Times New Roman" w:eastAsia="Times New Roman" w:cs="Times New Roman"/>
                <w:sz w:val="20"/>
                <w:szCs w:val="20"/>
              </w:rPr>
              <w:t xml:space="preserve">Telugu→Malayalam</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0.417 ± 0.005</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0.167 ± 0.056</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0.456ᵇ</w:t>
            </w:r>
          </w:p>
        </w:tc>
        <w:tc>
          <w:tcPr>
            <w:tcW w:w="1810" w:type="dxa"/>
          </w:tcPr>
          <w:p>
            <w:pPr>
              <w:pStyle w:val="676"/>
              <w:spacing w:before="20" w:after="20"/>
              <w:ind w:left="0"/>
              <w:jc w:val="center"/>
            </w:pPr>
            <w:r>
              <w:rPr>
                <w:rFonts w:ascii="Times New Roman" w:hAnsi="Times New Roman" w:eastAsia="Times New Roman" w:cs="Times New Roman"/>
                <w:sz w:val="20"/>
                <w:szCs w:val="20"/>
              </w:rPr>
              <w:t xml:space="preserve">0.528 ± 0.054</w:t>
            </w:r>
          </w:p>
        </w:tc>
      </w:tr>
    </w:tbl>
    <w:p>
      <w:pPr>
        <w:pStyle w:val="676"/>
        <w:spacing w:after="0"/>
        <w:ind w:left="0"/>
      </w:pPr>
    </w:p>
    <w:p>
      <w:pPr>
        <w:pStyle w:val="676"/>
        <w:pBdr/>
        <w:spacing/>
        <w:ind w:left="0"/>
        <w:jc w:val="left"/>
        <w:rPr/>
      </w:pPr>
      <w:r>
        <w:rPr>
          <w:rFonts w:ascii="Times New Roman" w:hAnsi="Times New Roman" w:eastAsia="Times New Roman" w:cs="Times New Roman"/>
          <w:sz w:val="18"/>
          <w:szCs w:val="18"/>
        </w:rPr>
        <w:t xml:space="preserve">Native target text except Malayalam, which is machine-translated from a different block. ᵃ Two converged seeds. ᵇ One converged seed, so no standard deviation.</w:t>
      </w:r>
    </w:p>
    <w:p>
      <w:pPr>
        <w:pStyle w:val="676"/>
        <w:pBdr/>
        <w:spacing/>
        <w:ind w:left="0" w:firstLine="288"/>
        <w:jc w:val="both"/>
        <w:rPr/>
      </w:pPr>
      <w:r>
        <w:rPr>
          <w:rFonts w:ascii="Times New Roman" w:hAnsi="Times New Roman" w:eastAsia="Times New Roman" w:cs="Times New Roman"/>
          <w:sz w:val="24"/>
          <w:szCs w:val="24"/>
        </w:rPr>
        <w:t xml:space="preserve">Transfer costs a large share of in-language performance in every cell. On task 2 the gaps run from 0.26 to 0.45 with IndicBERT and from 0.11 to 0.24 with mBERT. Out of Hindi, IndicBERT loses 0.39–0.45 on task 2 and 0.50–0.51 on task 3. Evaluating on machine-translated target text from the source's own block, instead of native text, moves these gaps by a few points at most (Hindi source, IndicBERT, task 2: 0.38–0.47 against 0.39–0.45), so the loss is not an artefact of our translations. On task 3 the gaps cluster between 0.46 and 0.56 whatever the source, target or encoder.</w:t>
      </w:r>
    </w:p>
    <w:p>
      <w:pPr>
        <w:pStyle w:val="676"/>
        <w:pBdr/>
        <w:spacing/>
        <w:ind w:left="0" w:firstLine="288"/>
        <w:jc w:val="both"/>
        <w:rPr/>
      </w:pPr>
      <w:r>
        <w:rPr>
          <w:rFonts w:ascii="Times New Roman" w:hAnsi="Times New Roman" w:eastAsia="Times New Roman" w:cs="Times New Roman"/>
          <w:sz w:val="24"/>
          <w:szCs w:val="24"/>
        </w:rPr>
        <w:t xml:space="preserve">The translationese conditions hold the language fixed and change only the text's provenance. With IndicBERT on task 2, a Hindi, Bengali or Telugu model scores 5.7–7.8 points lower on machine-translated text in its own language than on native text; on task 3 the drop is 8.8–26.6 points. The native arm is the model's own split, and so largely its training text, while the translated arm is not. These differences are therefore an upper bound on the cost of translated input rather than a direct measure of it.</w:t>
      </w:r>
    </w:p>
    <w:p>
      <w:pPr>
        <w:pStyle w:val="681"/>
        <w:numPr>
          <w:ilvl w:val="0"/>
          <w:numId w:val="8"/>
        </w:numPr>
        <w:pBdr/>
        <w:spacing/>
        <w:ind/>
        <w:jc w:val="left"/>
        <w:rPr/>
      </w:pPr>
      <w:r>
        <w:rPr>
          <w:rFonts w:ascii="Times New Roman" w:hAnsi="Times New Roman" w:eastAsia="Times New Roman" w:cs="Times New Roman"/>
          <w:sz w:val="24"/>
          <w:szCs w:val="24"/>
        </w:rPr>
        <w:t xml:space="preserve">Encoder Comparison</w:t>
      </w:r>
    </w:p>
    <w:p>
      <w:pPr>
        <w:pStyle w:val="676"/>
        <w:pBdr/>
        <w:spacing/>
        <w:ind w:left="0" w:firstLine="288"/>
        <w:jc w:val="both"/>
        <w:rPr/>
      </w:pPr>
      <w:r>
        <w:rPr>
          <w:rFonts w:ascii="Times New Roman" w:hAnsi="Times New Roman" w:eastAsia="Times New Roman" w:cs="Times New Roman"/>
          <w:sz w:val="24"/>
          <w:szCs w:val="24"/>
        </w:rPr>
        <w:t xml:space="preserve">mBERT outperforms IndicBERT on the target language in all twelve Hindi-source cells (six per task, native and translated targets). The margin is 0.15–0.37 macro-F1, larger than the two encoders' combined seed spread in every cell (Table VII), and mBERT also scores higher in-language on held-out data (Table V). The two tasks differ in how. On task 2, mBERT both starts higher and loses less in transfer (gaps of 0.12–0.24 against 0.38–0.47). On task 3 the two lose nearly the same amount (0.45–0.56 against 0.50–0.52). We therefore do not claim that the better encoder transfers better in general.</w:t>
      </w:r>
    </w:p>
    <w:p>
      <w:pPr>
        <w:pStyle w:val="676"/>
        <w:keepNext/>
        <w:spacing w:before="120" w:after="60"/>
        <w:ind w:left="0"/>
        <w:jc w:val="center"/>
      </w:pPr>
      <w:r>
        <w:rPr>
          <w:rFonts w:ascii="Times New Roman" w:hAnsi="Times New Roman" w:eastAsia="Times New Roman" w:cs="Times New Roman"/>
          <w:sz w:val="20"/>
          <w:szCs w:val="20"/>
        </w:rPr>
        <w:t xml:space="preserve">TABLE VII. MACRO-F1 BY ENCODER, HINDI SOURCE</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0.823 ± 0.004</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0.874 ± 0.017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0.519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0.787</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2,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0.38–0.47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0.12–0.24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in-language (held-out)</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 ± 0.025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0.335 ± 0.042</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target (mean of 6 cells)</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0.087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0.294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Task 3, transfer gap (range)</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0.50–0.52</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0.45–0.56</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Tokenisation does not explain the result. IndicBERT needs 14–24% fewer tokens than mBERT for the same sentences, and its advantage is largest for Malayalam, yet it underperforms on every measure. Capacity might explain it. IndicBERT shares one layer's weights across all twelve layers, so its transformer body has 7.8M parameters against mBERT's 85.6M. Separating capacity from multilingual breadth needs a comparison of mBERT against XLM-R, and that could not be run on our hardware, so the cause remains open.</w:t>
      </w:r>
    </w:p>
    <w:p>
      <w:pPr>
        <w:pStyle w:val="681"/>
        <w:numPr>
          <w:ilvl w:val="0"/>
          <w:numId w:val="8"/>
        </w:numPr>
        <w:pBdr/>
        <w:spacing/>
        <w:ind/>
        <w:jc w:val="left"/>
        <w:rPr/>
      </w:pPr>
      <w:r>
        <w:rPr>
          <w:rFonts w:ascii="Times New Roman" w:hAnsi="Times New Roman" w:eastAsia="Times New Roman" w:cs="Times New Roman"/>
          <w:sz w:val="24"/>
          <w:szCs w:val="24"/>
        </w:rPr>
        <w:t xml:space="preserve">Source Language and Direction</w:t>
      </w:r>
    </w:p>
    <w:p>
      <w:pPr>
        <w:pStyle w:val="676"/>
        <w:pBdr/>
        <w:spacing/>
        <w:ind w:left="0" w:firstLine="288"/>
        <w:jc w:val="both"/>
        <w:rPr/>
      </w:pPr>
      <w:r>
        <w:rPr>
          <w:rFonts w:ascii="Times New Roman" w:hAnsi="Times New Roman" w:eastAsia="Times New Roman" w:cs="Times New Roman"/>
          <w:sz w:val="24"/>
          <w:szCs w:val="24"/>
        </w:rPr>
        <w:t xml:space="preserve">Training on Hindi gives the largest mean gap on task 2 with both encoders, and Bengali the smallest (Table VIII). The cost sits mainly in the target language. Into a Dravidian target the mean gap is 0.406 with IndicBERT and 0.194 with mBERT, against 0.349 and 0.151 into an Indo-Aryan target. Section IV-A found the same direction in translation quality, using an unrelated measure. Transfer is also asymmetric: Hindi→Bengali loses more than Bengali→Hindi on both encoders, beyond seed noise (0.448 against 0.263 with IndicBERT, 0.142 against 0.105 with mBERT).</w:t>
      </w:r>
    </w:p>
    <w:p>
      <w:pPr>
        <w:pStyle w:val="676"/>
        <w:keepNext/>
        <w:spacing w:before="120" w:after="60"/>
        <w:ind w:left="0"/>
        <w:jc w:val="center"/>
      </w:pPr>
      <w:r>
        <w:rPr>
          <w:rFonts w:ascii="Times New Roman" w:hAnsi="Times New Roman" w:eastAsia="Times New Roman" w:cs="Times New Roman"/>
          <w:sz w:val="20"/>
          <w:szCs w:val="20"/>
        </w:rPr>
        <w:t xml:space="preserve">TABLE VIII. MEAN TRANSFER GAP BY SOURCE AND TARGET FAMILY (TASK 2)</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4560"/>
        <w:gridCol w:w="2400"/>
        <w:gridCol w:w="2400"/>
      </w:tblGrid>
      <w:tr>
        <w:trPr>
          <w:tblHeader/>
        </w:trPr>
        <w:tc>
          <w:tcPr>
            <w:tcW w:w="456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IndicBERT</w:t>
            </w:r>
          </w:p>
        </w:tc>
        <w:tc>
          <w:tcPr>
            <w:tcW w:w="24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mBERT</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Bengali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0.345</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0.153</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Telugu</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0.367</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0.174</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Source: Hindi</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0.429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0.196</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Indo-Aryan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0.349</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0.151</w:t>
            </w:r>
          </w:p>
        </w:tc>
      </w:tr>
      <w:tr>
        <w:tc>
          <w:tcPr>
            <w:tcW w:w="4560" w:type="dxa"/>
          </w:tcPr>
          <w:p>
            <w:pPr>
              <w:pStyle w:val="676"/>
              <w:spacing w:before="20" w:after="20"/>
              <w:ind w:left="0"/>
              <w:jc w:val="left"/>
            </w:pPr>
            <w:r>
              <w:rPr>
                <w:rFonts w:ascii="Times New Roman" w:hAnsi="Times New Roman" w:eastAsia="Times New Roman" w:cs="Times New Roman"/>
                <w:sz w:val="20"/>
                <w:szCs w:val="20"/>
              </w:rPr>
              <w:t xml:space="preserve">Target family: Dravidian</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0.406</w:t>
            </w:r>
          </w:p>
        </w:tc>
        <w:tc>
          <w:tcPr>
            <w:tcW w:w="2400" w:type="dxa"/>
          </w:tcPr>
          <w:p>
            <w:pPr>
              <w:pStyle w:val="676"/>
              <w:spacing w:before="20" w:after="20"/>
              <w:ind w:left="0"/>
              <w:jc w:val="center"/>
            </w:pPr>
            <w:r>
              <w:rPr>
                <w:rFonts w:ascii="Times New Roman" w:hAnsi="Times New Roman" w:eastAsia="Times New Roman" w:cs="Times New Roman"/>
                <w:sz w:val="20"/>
                <w:szCs w:val="20"/>
              </w:rPr>
              <w:t xml:space="preserve">0.194</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Typological proximity does not reliably pick the best source. A same-family source is best for one of three targets with IndicBERT and for all three with mBERT. The two encoders also disagree about Malayalam's best source (Bengali with IndicBERT, Telugu with mBERT). Task 3 supports no source comparison: no difference between sources and no direction asymmetry exceeds seed noise.</w:t>
      </w:r>
    </w:p>
    <w:p>
      <w:pPr>
        <w:pStyle w:val="681"/>
        <w:numPr>
          <w:ilvl w:val="0"/>
          <w:numId w:val="8"/>
        </w:numPr>
        <w:pBdr/>
        <w:spacing/>
        <w:ind/>
        <w:jc w:val="left"/>
        <w:rPr/>
      </w:pPr>
      <w:r>
        <w:rPr>
          <w:rFonts w:ascii="Times New Roman" w:hAnsi="Times New Roman" w:eastAsia="Times New Roman" w:cs="Times New Roman"/>
          <w:sz w:val="24"/>
          <w:szCs w:val="24"/>
        </w:rPr>
        <w:t xml:space="preserve">Failure Attribution</w:t>
      </w:r>
    </w:p>
    <w:p>
      <w:pPr>
        <w:pStyle w:val="676"/>
        <w:pBdr/>
        <w:spacing/>
        <w:ind w:left="0" w:firstLine="288"/>
        <w:jc w:val="both"/>
        <w:rPr/>
      </w:pPr>
      <w:r>
        <w:rPr>
          <w:rFonts w:ascii="Times New Roman" w:hAnsi="Times New Roman" w:eastAsia="Times New Roman" w:cs="Times New Roman"/>
          <w:sz w:val="24"/>
          <w:szCs w:val="24"/>
        </w:rPr>
        <w:t xml:space="preserve">The router labelled every failure in all 72 cells (two tasks, two encoders, 18 transfer conditions). Table IX shows what the failures consist of. Between 9.2% and 19.7% are unattributed. Linguistic labels account for 8.8–12.0% and data or model labels for 69.0–79.4%. Most failures are therefore described by where they occur rather than by a property of the target sentence: in every target language, in only one text provenance, on only some seeds, or under a collapsed classifier. These data and model labels describe a pattern; they do not name a mechanism. A hand check of 200 task-2 IndicBERT labels, 50 per target language, agreed with 197 (98.5%). The other three (task, encoder) cells were not checked by hand.</w:t>
      </w:r>
    </w:p>
    <w:p>
      <w:pPr>
        <w:pStyle w:val="676"/>
        <w:keepNext/>
        <w:spacing w:before="120" w:after="60"/>
        <w:ind w:left="0"/>
        <w:jc w:val="center"/>
      </w:pPr>
      <w:r>
        <w:rPr>
          <w:rFonts w:ascii="Times New Roman" w:hAnsi="Times New Roman" w:eastAsia="Times New Roman" w:cs="Times New Roman"/>
          <w:sz w:val="20"/>
          <w:szCs w:val="20"/>
        </w:rPr>
        <w:t xml:space="preserve">TABLE IX. COMPOSITION OF TRANSFER FAILURES (SHARE OF FAILURES)</w:t>
      </w:r>
    </w:p>
    <w:tbl>
      <w:tblPr>
        <w:tblW w:w="9360" w:type="dxa"/>
        <w:jc w:val="center"/>
        <w:tblBorders>
          <w:top w:val="single" w:sz="8" w:space="0" w:color="000000"/>
          <w:bottom w:val="single" w:sz="8" w:space="0" w:color="000000"/>
        </w:tblBorders>
        <w:tblLayout w:type="fixed"/>
        <w:tblCellMar>
          <w:left w:w="80" w:type="dxa"/>
          <w:right w:w="80" w:type="dxa"/>
        </w:tblCellMar>
        <w:tblLook w:val="0000"/>
      </w:tblPr>
      <w:tblGrid>
        <w:gridCol w:w="1900"/>
        <w:gridCol w:w="1500"/>
        <w:gridCol w:w="1490"/>
        <w:gridCol w:w="1490"/>
        <w:gridCol w:w="1490"/>
        <w:gridCol w:w="1490"/>
      </w:tblGrid>
      <w:tr>
        <w:trPr>
          <w:tblHeader/>
        </w:trPr>
        <w:tc>
          <w:tcPr>
            <w:tcW w:w="1900" w:type="dxa"/>
            <w:tcBorders>
              <w:bottom w:val="single" w:sz="8" w:space="0" w:color="000000"/>
            </w:tcBorders>
          </w:tcPr>
          <w:p>
            <w:pPr>
              <w:pStyle w:val="676"/>
              <w:spacing w:before="20" w:after="20"/>
              <w:ind w:left="0"/>
              <w:jc w:val="left"/>
            </w:pPr>
            <w:r>
              <w:rPr>
                <w:rFonts w:ascii="Times New Roman" w:hAnsi="Times New Roman" w:eastAsia="Times New Roman" w:cs="Times New Roman"/>
                <w:b/>
                <w:sz w:val="20"/>
                <w:szCs w:val="20"/>
              </w:rPr>
              <w:t xml:space="preserve">Cell</w:t>
            </w:r>
          </w:p>
        </w:tc>
        <w:tc>
          <w:tcPr>
            <w:tcW w:w="150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Failures</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Unattributed</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Linguistic</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Data</w:t>
            </w:r>
          </w:p>
        </w:tc>
        <w:tc>
          <w:tcPr>
            <w:tcW w:w="1490" w:type="dxa"/>
            <w:tcBorders>
              <w:bottom w:val="single" w:sz="8" w:space="0" w:color="000000"/>
            </w:tcBorders>
          </w:tcPr>
          <w:p>
            <w:pPr>
              <w:pStyle w:val="676"/>
              <w:spacing w:before="20" w:after="20"/>
              <w:ind w:left="0"/>
              <w:jc w:val="center"/>
            </w:pPr>
            <w:r>
              <w:rPr>
                <w:rFonts w:ascii="Times New Roman" w:hAnsi="Times New Roman" w:eastAsia="Times New Roman" w:cs="Times New Roman"/>
                <w:b/>
                <w:sz w:val="20"/>
                <w:szCs w:val="20"/>
              </w:rPr>
              <w:t xml:space="preserve">Model</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19,323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12.0%</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44.6%</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34.2%</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2,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9,714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19.7%</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48.3%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20.8%</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IndicBERT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6,102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8.8%</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72.2%</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7.1%</w:t>
            </w:r>
          </w:p>
        </w:tc>
      </w:tr>
      <w:tr>
        <w:tc>
          <w:tcPr>
            <w:tcW w:w="1900" w:type="dxa"/>
          </w:tcPr>
          <w:p>
            <w:pPr>
              <w:pStyle w:val="676"/>
              <w:spacing w:before="20" w:after="20"/>
              <w:ind w:left="0"/>
              <w:jc w:val="left"/>
            </w:pPr>
            <w:r>
              <w:rPr>
                <w:rFonts w:ascii="Times New Roman" w:hAnsi="Times New Roman" w:eastAsia="Times New Roman" w:cs="Times New Roman"/>
                <w:sz w:val="20"/>
                <w:szCs w:val="20"/>
              </w:rPr>
              <w:t xml:space="preserve">Task 3, mBERT</w:t>
            </w:r>
          </w:p>
        </w:tc>
        <w:tc>
          <w:tcPr>
            <w:tcW w:w="1500" w:type="dxa"/>
          </w:tcPr>
          <w:p>
            <w:pPr>
              <w:pStyle w:val="676"/>
              <w:spacing w:before="20" w:after="20"/>
              <w:ind w:left="0"/>
              <w:jc w:val="center"/>
            </w:pPr>
            <w:r>
              <w:rPr>
                <w:rFonts w:ascii="Times New Roman" w:hAnsi="Times New Roman" w:eastAsia="Times New Roman" w:cs="Times New Roman"/>
                <w:sz w:val="20"/>
                <w:szCs w:val="20"/>
              </w:rPr>
              <w:t xml:space="preserve">7,103</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14.4%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9.4%</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64.9%</w:t>
            </w:r>
          </w:p>
        </w:tc>
        <w:tc>
          <w:tcPr>
            <w:tcW w:w="1490" w:type="dxa"/>
          </w:tcPr>
          <w:p>
            <w:pPr>
              <w:pStyle w:val="676"/>
              <w:spacing w:before="20" w:after="20"/>
              <w:ind w:left="0"/>
              <w:jc w:val="center"/>
            </w:pPr>
            <w:r>
              <w:rPr>
                <w:rFonts w:ascii="Times New Roman" w:hAnsi="Times New Roman" w:eastAsia="Times New Roman" w:cs="Times New Roman"/>
                <w:sz w:val="20"/>
                <w:szCs w:val="20"/>
              </w:rPr>
              <w:t xml:space="preserve">11.2%</w:t>
            </w:r>
          </w:p>
        </w:tc>
      </w:tr>
    </w:tbl>
    <w:p>
      <w:pPr>
        <w:pStyle w:val="676"/>
        <w:spacing w:after="0"/>
        <w:ind w:left="0"/>
      </w:pPr>
    </w:p>
    <w:p>
      <w:pPr>
        <w:pStyle w:val="676"/>
        <w:pBdr/>
        <w:spacing/>
        <w:ind w:left="0" w:firstLine="288"/>
        <w:jc w:val="both"/>
        <w:rPr/>
      </w:pPr>
      <w:r>
        <w:rPr>
          <w:rFonts w:ascii="Times New Roman" w:hAnsi="Times New Roman" w:eastAsia="Times New Roman" w:cs="Times New Roman"/>
          <w:sz w:val="24"/>
          <w:szCs w:val="24"/>
        </w:rPr>
        <w:t xml:space="preserve">Two of the linguistic modules did not validate. Items with a masked term do not fail more often than items with the term intact: masked items fail more often in only 20 of 44 cells. Saliency divergence does not separate failures from correctly handled pairs (AUC 0.48–0.52). Tokenizer fragmentation almost never fires (at most 0.5% of failures), because R</w:t>
      </w:r>
      <w:r>
        <w:rPr>
          <w:rFonts w:ascii="Times New Roman" w:hAnsi="Times New Roman" w:eastAsia="Times New Roman" w:cs="Times New Roman"/>
          <w:sz w:val="24"/>
          <w:szCs w:val="24"/>
          <w:vertAlign w:val="subscript"/>
        </w:rPr>
        <w:t xml:space="preserve">frag</w:t>
      </w:r>
      <w:r>
        <w:rPr>
          <w:rFonts w:ascii="Times New Roman" w:hAnsi="Times New Roman" w:eastAsia="Times New Roman" w:cs="Times New Roman"/>
          <w:sz w:val="24"/>
          <w:szCs w:val="24"/>
        </w:rPr>
        <w:t xml:space="preserve"> ≥ 2.0 is rarely reached. Labels from these modules are reported, but they should not be read as established causes.</w:t>
      </w:r>
    </w:p>
    <w:p>
      <w:pPr>
        <w:pStyle w:val="676"/>
        <w:pBdr/>
        <w:spacing/>
        <w:ind w:left="0" w:firstLine="288"/>
        <w:jc w:val="both"/>
        <w:rPr/>
      </w:pPr>
      <w:r>
        <w:rPr>
          <w:rFonts w:ascii="Times New Roman" w:hAnsi="Times New Roman" w:eastAsia="Times New Roman" w:cs="Times New Roman"/>
          <w:sz w:val="24"/>
          <w:szCs w:val="24"/>
        </w:rPr>
        <w:t xml:space="preserve">Of 228 group comparisons, 22 meet the finding rule, and 11 of those could be produced by a known measurement limit on its own. The remaining 11 fall into three groups. </w:t>
      </w:r>
      <w:r>
        <w:rPr>
          <w:rFonts w:ascii="Times New Roman" w:hAnsi="Times New Roman" w:eastAsia="Times New Roman" w:cs="Times New Roman"/>
          <w:i/>
          <w:sz w:val="24"/>
          <w:szCs w:val="24"/>
        </w:rPr>
        <w:t xml:space="preserve">Direction (task 2):</w:t>
      </w:r>
      <w:r>
        <w:rPr>
          <w:rFonts w:ascii="Times New Roman" w:hAnsi="Times New Roman" w:eastAsia="Times New Roman" w:cs="Times New Roman"/>
          <w:sz w:val="24"/>
          <w:szCs w:val="24"/>
        </w:rPr>
        <w:t xml:space="preserve"> failures out of Telugu carry more model-behaviour labels than failures into it, on both encoders (40.2% against 34.4% with IndicBERT, 24.9% against 14.4% with mBERT), mainly through seed instability. </w:t>
      </w:r>
      <w:r>
        <w:rPr>
          <w:rFonts w:ascii="Times New Roman" w:hAnsi="Times New Roman" w:eastAsia="Times New Roman" w:cs="Times New Roman"/>
          <w:i/>
          <w:sz w:val="24"/>
          <w:szCs w:val="24"/>
        </w:rPr>
        <w:t xml:space="preserve">Source:</w:t>
      </w:r>
      <w:r>
        <w:rPr>
          <w:rFonts w:ascii="Times New Roman" w:hAnsi="Times New Roman" w:eastAsia="Times New Roman" w:cs="Times New Roman"/>
          <w:sz w:val="24"/>
          <w:szCs w:val="24"/>
        </w:rPr>
        <w:t xml:space="preserve"> on task 2, with Bengali and Malayalam targets, Telugu-source failures carry more model-behaviour labels than Hindi-source ones (46.8% against 18.4%; 22.0% against 14.7%). On task 3, Hindi-source failures carry more </w:t>
      </w:r>
      <w:r>
        <w:rPr>
          <w:rFonts w:ascii="Times New Roman" w:hAnsi="Times New Roman" w:eastAsia="Times New Roman" w:cs="Times New Roman"/>
          <w:i/>
          <w:sz w:val="24"/>
          <w:szCs w:val="24"/>
        </w:rPr>
        <w:t xml:space="preserve">terminology_gap</w:t>
      </w:r>
      <w:r>
        <w:rPr>
          <w:rFonts w:ascii="Times New Roman" w:hAnsi="Times New Roman" w:eastAsia="Times New Roman" w:cs="Times New Roman"/>
          <w:sz w:val="24"/>
          <w:szCs w:val="24"/>
        </w:rPr>
        <w:t xml:space="preserve"> labels than Telugu-source ones, but that label comes from a module that did not validate. </w:t>
      </w:r>
      <w:r>
        <w:rPr>
          <w:rFonts w:ascii="Times New Roman" w:hAnsi="Times New Roman" w:eastAsia="Times New Roman" w:cs="Times New Roman"/>
          <w:i/>
          <w:sz w:val="24"/>
          <w:szCs w:val="24"/>
        </w:rPr>
        <w:t xml:space="preserve">Encoder:</w:t>
      </w:r>
      <w:r>
        <w:rPr>
          <w:rFonts w:ascii="Times New Roman" w:hAnsi="Times New Roman" w:eastAsia="Times New Roman" w:cs="Times New Roman"/>
          <w:sz w:val="24"/>
          <w:szCs w:val="24"/>
        </w:rPr>
        <w:t xml:space="preserve"> 27.3% of IndicBERT's task-2 failures are class collapse, which never occurs with mBERT. IndicBERT also has more </w:t>
      </w:r>
      <w:r>
        <w:rPr>
          <w:rFonts w:ascii="Times New Roman" w:hAnsi="Times New Roman" w:eastAsia="Times New Roman" w:cs="Times New Roman"/>
          <w:i/>
          <w:sz w:val="24"/>
          <w:szCs w:val="24"/>
        </w:rPr>
        <w:t xml:space="preserve">cross_lingual_hard</w:t>
      </w:r>
      <w:r>
        <w:rPr>
          <w:rFonts w:ascii="Times New Roman" w:hAnsi="Times New Roman" w:eastAsia="Times New Roman" w:cs="Times New Roman"/>
          <w:sz w:val="24"/>
          <w:szCs w:val="24"/>
        </w:rPr>
        <w:t xml:space="preserve"> failures on both tasks (28.5% against 24.4%; 60.6% against 46.6%), while mBERT's failures are more often </w:t>
      </w:r>
      <w:r>
        <w:rPr>
          <w:rFonts w:ascii="Times New Roman" w:hAnsi="Times New Roman" w:eastAsia="Times New Roman" w:cs="Times New Roman"/>
          <w:i/>
          <w:sz w:val="24"/>
          <w:szCs w:val="24"/>
        </w:rPr>
        <w:t xml:space="preserve">seed_unstable</w:t>
      </w:r>
      <w:r>
        <w:rPr>
          <w:rFonts w:ascii="Times New Roman" w:hAnsi="Times New Roman" w:eastAsia="Times New Roman" w:cs="Times New Roman"/>
          <w:sz w:val="24"/>
          <w:szCs w:val="24"/>
        </w:rPr>
        <w:t xml:space="preserve"> (19.0% against 6.3%; 10.5% against 5.0%) and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(25.5% against 15.9%; 16.6% against 8.7%).</w:t>
      </w:r>
    </w:p>
    <w:p>
      <w:pPr>
        <w:pStyle w:val="676"/>
        <w:pBdr/>
        <w:spacing/>
        <w:ind w:left="0" w:firstLine="288"/>
        <w:jc w:val="both"/>
        <w:rPr/>
      </w:pPr>
      <w:r>
        <w:rPr>
          <w:rFonts w:ascii="Times New Roman" w:hAnsi="Times New Roman" w:eastAsia="Times New Roman" w:cs="Times New Roman"/>
          <w:sz w:val="24"/>
          <w:szCs w:val="24"/>
        </w:rPr>
        <w:t xml:space="preserve">Hindi-source failures are more frequent than Bengali-source ones (task 2: 32.9% against 27.7% of evaluated rows with IndicBERT, 17.0% against 13.4% with mBERT), but no difference in their cause mix meets the rule: Hindi fails more often, not differently. On machine-translated targets, 9.5–25.0% of failures are labelled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or </w:t>
      </w:r>
      <w:r>
        <w:rPr>
          <w:rFonts w:ascii="Times New Roman" w:hAnsi="Times New Roman" w:eastAsia="Times New Roman" w:cs="Times New Roman"/>
          <w:i/>
          <w:sz w:val="24"/>
          <w:szCs w:val="24"/>
        </w:rPr>
        <w:t xml:space="preserve">provenance_specific</w:t>
      </w:r>
      <w:r>
        <w:rPr>
          <w:rFonts w:ascii="Times New Roman" w:hAnsi="Times New Roman" w:eastAsia="Times New Roman" w:cs="Times New Roman"/>
          <w:sz w:val="24"/>
          <w:szCs w:val="24"/>
        </w:rPr>
        <w:t xml:space="preserve">, the closest the pipeline comes to saying that our translation caused the failure. The only native-versus-translated differences that meet the rule are in </w:t>
      </w:r>
      <w:r>
        <w:rPr>
          <w:rFonts w:ascii="Times New Roman" w:hAnsi="Times New Roman" w:eastAsia="Times New Roman" w:cs="Times New Roman"/>
          <w:i/>
          <w:sz w:val="24"/>
          <w:szCs w:val="24"/>
        </w:rPr>
        <w:t xml:space="preserve">translation_drift</w:t>
      </w:r>
      <w:r>
        <w:rPr>
          <w:rFonts w:ascii="Times New Roman" w:hAnsi="Times New Roman" w:eastAsia="Times New Roman" w:cs="Times New Roman"/>
          <w:sz w:val="24"/>
          <w:szCs w:val="24"/>
        </w:rPr>
        <w:t xml:space="preserve"> itself, and they are an artefact of the measure: τ accepts 95% of human translations by construction, and LaBSE scores literal translation above human translation. Repeating every comparison without the task-3 runs that never trained changes 20 verdicts, only one of them to or from a finding.</w:t>
      </w:r>
    </w:p>
    <w:p w14:paraId="22FF04D4" w14:textId="75A7056A">
      <w:pPr>
        <w:pStyle w:val="676"/>
        <w:pBdr/>
        <w:spacing/>
        <w:ind w:left="0"/>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0C02307D" w14:textId="631B5C00">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CONCLUSION AND FUTURE ENHANCEMENT</w:t>
      </w:r>
      <w:r>
        <w:rPr>
          <w:rFonts w:ascii="system-ui" w:hAnsi="system-ui" w:eastAsia="system-ui" w:cs="system-ui"/>
          <w:b w:val="0"/>
          <w:bCs w:val="0"/>
          <w:i w:val="0"/>
          <w:iCs w:val="0"/>
          <w:caps w:val="0"/>
          <w:smallCaps w:val="0"/>
          <w:color w:val="2b2d38"/>
          <w:sz w:val="22"/>
          <w:szCs w:val="22"/>
          <w:lang w:val="en-US"/>
        </w:rPr>
      </w:r>
    </w:p>
    <w:p>
      <w:pPr>
        <w:pStyle w:val="681"/>
        <w:numPr>
          <w:ilvl w:val="0"/>
          <w:numId w:val="9"/>
        </w:numPr>
        <w:pBdr/>
        <w:spacing/>
        <w:ind/>
        <w:jc w:val="left"/>
        <w:rPr/>
      </w:pPr>
      <w:r>
        <w:rPr>
          <w:rFonts w:ascii="Times New Roman" w:hAnsi="Times New Roman" w:eastAsia="Times New Roman" w:cs="Times New Roman"/>
          <w:sz w:val="24"/>
          <w:szCs w:val="24"/>
        </w:rPr>
        <w:t xml:space="preserve">Conclusion</w:t>
      </w:r>
    </w:p>
    <w:p>
      <w:pPr>
        <w:pStyle w:val="676"/>
        <w:pBdr/>
        <w:spacing/>
        <w:ind w:left="0" w:firstLine="288"/>
        <w:jc w:val="both"/>
        <w:rPr/>
      </w:pPr>
      <w:r>
        <w:rPr>
          <w:rFonts w:ascii="Times New Roman" w:hAnsi="Times New Roman" w:eastAsia="Times New Roman" w:cs="Times New Roman"/>
          <w:sz w:val="24"/>
          <w:szCs w:val="24"/>
        </w:rPr>
        <w:t xml:space="preserve">We asked whether multilingual language models keep financial meaning intact when knowledge moves between Indic languages. To answer it we built a four-way parallel financial corpus in Hindi, Bengali, Telugu and Malayalam from IndicFinNLP. It contains 92,760 machine-translated rows, each kept and flagged rather than filtered, and every row is checked for numeral preservation, structural integrity and semantic similarity against a threshold calibrated on human translations. The independence audit that preceded it changed the design: the sustainability and ESG-theme splits turned out to be the same items in every language, while the numeral split is independently sourced.</w:t>
      </w:r>
    </w:p>
    <w:p>
      <w:pPr>
        <w:pStyle w:val="676"/>
        <w:pBdr/>
        <w:spacing/>
        <w:ind w:left="0" w:firstLine="288"/>
        <w:jc w:val="both"/>
        <w:rPr/>
      </w:pPr>
      <w:r>
        <w:rPr>
          <w:rFonts w:ascii="Times New Roman" w:hAnsi="Times New Roman" w:eastAsia="Times New Roman" w:cs="Times New Roman"/>
          <w:sz w:val="24"/>
          <w:szCs w:val="24"/>
        </w:rPr>
        <w:t xml:space="preserve">Financial numerals are fragile under translation. Roughly one annotated numeral in six does not survive Indic-to-Indic translation intact. No direction of the numeral task reaches 95% preservation of the numerals, currency symbols and percentages in a sentence. Cross-lingual transfer is costly as well. With content held fixed, IndicBERT loses 0.26–0.45 macro-F1 on sustainability classification and mBERT 0.11–0.24, and evaluating on our own translations instead of native text changes the gap by only a few points, so the loss is not an artefact of the corpus. mBERT outperforms IndicBERT in all twelve Hindi-source cells, and the evidence does not support attributing that to tokenisation. On sustainability classification, Hindi, the default choice, is the worst source language on both encoders. There the cost sits mainly in the target language, and moving into a Dravidian language costs more than moving into an Indo-Aryan one. The same direction appears in translation quality on all three tasks, measured by an unrelated method. The ESG-theme task, at 532 headlines over ten classes, is too small to support any comparison of sources.</w:t>
      </w:r>
    </w:p>
    <w:p>
      <w:pPr>
        <w:pStyle w:val="676"/>
        <w:pBdr/>
        <w:spacing/>
        <w:ind w:left="0" w:firstLine="288"/>
        <w:jc w:val="both"/>
        <w:rPr/>
      </w:pPr>
      <w:r>
        <w:rPr>
          <w:rFonts w:ascii="Times New Roman" w:hAnsi="Times New Roman" w:eastAsia="Times New Roman" w:cs="Times New Roman"/>
          <w:sz w:val="24"/>
          <w:szCs w:val="24"/>
        </w:rPr>
        <w:t xml:space="preserve">The diagnostic framework labelled every failure in all 72 (task, encoder, condition) cells, and the labels describe failures rather than explain them. Linguistic labels cover 8.8–12.0% of failures. Most of the rest are described by where they occur: in every target language, on only some seeds, or under a collapsed classifier. Two linguistic modules, morphological masking and terminology gap, did not predict failure better than chance. We therefore report the size and shape of the transfer gap with confidence and its causes as open.</w:t>
      </w:r>
    </w:p>
    <w:p>
      <w:pPr>
        <w:pStyle w:val="676"/>
        <w:pBdr/>
        <w:spacing/>
        <w:ind w:left="0" w:firstLine="288"/>
        <w:jc w:val="both"/>
        <w:rPr/>
      </w:pPr>
      <w:r>
        <w:rPr>
          <w:rFonts w:ascii="Times New Roman" w:hAnsi="Times New Roman" w:eastAsia="Times New Roman" w:cs="Times New Roman"/>
          <w:sz w:val="24"/>
          <w:szCs w:val="24"/>
        </w:rPr>
        <w:t xml:space="preserve">Several limits bound these conclusions. Malayalam has no native text, so Malayalam results combine transfer difficulty with translation quality. Human verification covers a sample of 180 translated rows per task, not the corpus. LaBSE similarity ranks directions reliably but rewards literal translation, so it is not an absolute quality score. Training and evaluation share content across languages by design, so the gaps measure the cost of changing language and not generalisation to unseen sentences. And a single 4 GB GPU ruled out XLM-R, the comparison that would separate model capacity from multilingual breadth.</w:t>
      </w:r>
    </w:p>
    <w:p>
      <w:pPr>
        <w:pStyle w:val="681"/>
        <w:numPr>
          <w:ilvl w:val="0"/>
          <w:numId w:val="9"/>
        </w:numPr>
        <w:pBdr/>
        <w:spacing/>
        <w:ind/>
        <w:jc w:val="left"/>
        <w:rPr/>
      </w:pPr>
      <w:r>
        <w:rPr>
          <w:rFonts w:ascii="Times New Roman" w:hAnsi="Times New Roman" w:eastAsia="Times New Roman" w:cs="Times New Roman"/>
          <w:sz w:val="24"/>
          <w:szCs w:val="24"/>
        </w:rPr>
        <w:t xml:space="preserve">Future Enhancement</w:t>
      </w:r>
    </w:p>
    <w:p>
      <w:pPr>
        <w:pStyle w:val="676"/>
        <w:pBdr/>
        <w:spacing/>
        <w:ind w:left="0" w:firstLine="288"/>
        <w:jc w:val="both"/>
        <w:rPr/>
      </w:pPr>
      <w:r>
        <w:rPr>
          <w:rFonts w:ascii="Times New Roman" w:hAnsi="Times New Roman" w:eastAsia="Times New Roman" w:cs="Times New Roman"/>
          <w:i/>
          <w:sz w:val="24"/>
          <w:szCs w:val="24"/>
        </w:rPr>
        <w:t xml:space="preserve">Encoders.</w:t>
      </w:r>
      <w:r>
        <w:rPr>
          <w:rFonts w:ascii="Times New Roman" w:hAnsi="Times New Roman" w:eastAsia="Times New Roman" w:cs="Times New Roman"/>
          <w:sz w:val="24"/>
          <w:szCs w:val="24"/>
        </w:rPr>
        <w:t xml:space="preserve"> Running XLM-R [13] against mBERT on larger hardware would isolate the effect of multilingual breadth at fixed capacity and settle whether mBERT's advantage comes from capacity. The BERT-based IndicBERT-v2 [8] would test the same question for an Indic-specific model with a full-size transformer body.</w:t>
      </w:r>
    </w:p>
    <w:p>
      <w:pPr>
        <w:pStyle w:val="676"/>
        <w:pBdr/>
        <w:spacing/>
        <w:ind w:left="0" w:firstLine="288"/>
        <w:jc w:val="both"/>
        <w:rPr/>
      </w:pPr>
      <w:r>
        <w:rPr>
          <w:rFonts w:ascii="Times New Roman" w:hAnsi="Times New Roman" w:eastAsia="Times New Roman" w:cs="Times New Roman"/>
          <w:i/>
          <w:sz w:val="24"/>
          <w:szCs w:val="24"/>
        </w:rPr>
        <w:t xml:space="preserve">Human verification.</w:t>
      </w:r>
      <w:r>
        <w:rPr>
          <w:rFonts w:ascii="Times New Roman" w:hAnsi="Times New Roman" w:eastAsia="Times New Roman" w:cs="Times New Roman"/>
          <w:sz w:val="24"/>
          <w:szCs w:val="24"/>
        </w:rPr>
        <w:t xml:space="preserve"> A native-speaker review of each target language, beyond the current maintainer sample, would establish adequacy where the automated checks can establish only that numerals, labels and script survived. A small native Malayalam test set would separate Malayalam transfer from Malayalam translation.</w:t>
      </w:r>
    </w:p>
    <w:p>
      <w:pPr>
        <w:pStyle w:val="676"/>
        <w:pBdr/>
        <w:spacing/>
        <w:ind w:left="0" w:firstLine="288"/>
        <w:jc w:val="both"/>
        <w:rPr/>
      </w:pPr>
      <w:r>
        <w:rPr>
          <w:rFonts w:ascii="Times New Roman" w:hAnsi="Times New Roman" w:eastAsia="Times New Roman" w:cs="Times New Roman"/>
          <w:i/>
          <w:sz w:val="24"/>
          <w:szCs w:val="24"/>
        </w:rPr>
        <w:t xml:space="preserve">Diagnostics.</w:t>
      </w:r>
      <w:r>
        <w:rPr>
          <w:rFonts w:ascii="Times New Roman" w:hAnsi="Times New Roman" w:eastAsia="Times New Roman" w:cs="Times New Roman"/>
          <w:sz w:val="24"/>
          <w:szCs w:val="24"/>
        </w:rPr>
        <w:t xml:space="preserve"> Comparing each label's rate on failures with its rate on correct predictions would show whether a property makes failure more likely, which shares of failures alone cannot. The morphology and terminology modules need either redesign or an intervention test, such as restoring a masked term and measuring the change in prediction. The numeral module excluded from this build could be rebuilt on task 1's span annotations.</w:t>
      </w:r>
    </w:p>
    <w:p>
      <w:pPr>
        <w:pStyle w:val="676"/>
        <w:pBdr/>
        <w:spacing/>
        <w:ind w:left="0" w:firstLine="288"/>
        <w:jc w:val="both"/>
        <w:rPr/>
      </w:pPr>
      <w:r>
        <w:rPr>
          <w:rFonts w:ascii="Times New Roman" w:hAnsi="Times New Roman" w:eastAsia="Times New Roman" w:cs="Times New Roman"/>
          <w:i/>
          <w:sz w:val="24"/>
          <w:szCs w:val="24"/>
        </w:rPr>
        <w:t xml:space="preserve">Evaluation.</w:t>
      </w:r>
      <w:r>
        <w:rPr>
          <w:rFonts w:ascii="Times New Roman" w:hAnsi="Times New Roman" w:eastAsia="Times New Roman" w:cs="Times New Roman"/>
          <w:sz w:val="24"/>
          <w:szCs w:val="24"/>
        </w:rPr>
        <w:t xml:space="preserve"> Task 1 is the one independently sourced task, so treating numeral detection as a transfer task would give a measurement free of shared content. Training on one item partition and evaluating on the other would add a held-out estimate beside the fixed-content gap reported here. Few-shot target-language training [11], [15] and translate-train [9], [18] would show how much of the gap a small amount of target data or translated training data recovers. For the ESG-theme task, paraphrase augmentation, as used by IndicFinNLP [1], would lift it off its data ceiling.</w:t>
      </w:r>
    </w:p>
    <w:p>
      <w:pPr>
        <w:pStyle w:val="676"/>
        <w:pBdr/>
        <w:spacing/>
        <w:ind w:left="0" w:firstLine="288"/>
        <w:jc w:val="both"/>
        <w:rPr/>
      </w:pPr>
      <w:r>
        <w:rPr>
          <w:rFonts w:ascii="Times New Roman" w:hAnsi="Times New Roman" w:eastAsia="Times New Roman" w:cs="Times New Roman"/>
          <w:i/>
          <w:sz w:val="24"/>
          <w:szCs w:val="24"/>
        </w:rPr>
        <w:t xml:space="preserve">Coverage.</w:t>
      </w:r>
      <w:r>
        <w:rPr>
          <w:rFonts w:ascii="Times New Roman" w:hAnsi="Times New Roman" w:eastAsia="Times New Roman" w:cs="Times New Roman"/>
          <w:sz w:val="24"/>
          <w:szCs w:val="24"/>
        </w:rPr>
        <w:t xml:space="preserve"> IndicTrans2 covers all 22 scheduled Indian languages [21], so the pipeline extends to further Dravidian and Indo-Aryan languages with configuration changes only. That would test whether the into-Dravidian penalty holds beyond Telugu and Malayalam.</w:t>
      </w:r>
    </w:p>
    <w:p w14:paraId="2E15050F" w14:textId="48BFF145">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0729AF8" w14:textId="5BA25151">
      <w:pPr>
        <w:pStyle w:val="681"/>
        <w:numPr>
          <w:ilvl w:val="0"/>
          <w:numId w:val="6"/>
        </w:numPr>
        <w:pBdr/>
        <w:spacing/>
        <w:ind/>
        <w:jc w:val="center"/>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t xml:space="preserve">REFERENCES</w:t>
      </w:r>
      <w:r>
        <w:rPr>
          <w:rFonts w:ascii="system-ui" w:hAnsi="system-ui" w:eastAsia="system-ui" w:cs="system-ui"/>
          <w:b w:val="0"/>
          <w:bCs w:val="0"/>
          <w:i w:val="0"/>
          <w:iCs w:val="0"/>
          <w:caps w:val="0"/>
          <w:smallCaps w:val="0"/>
          <w:color w:val="2b2d38"/>
          <w:sz w:val="22"/>
          <w:szCs w:val="22"/>
          <w:lang w:val="en-US"/>
        </w:rPr>
      </w:r>
    </w:p>
    <w:p w14:paraId="0D4D6102" w14:textId="602E6B3E">
      <w:pPr>
        <w:pStyle w:val="681"/>
        <w:numPr>
          <w:ilvl w:val="0"/>
          <w:numId w:val="3"/>
        </w:numPr>
        <w:pBdr/>
        <w:spacing/>
        <w:ind/>
        <w:jc w:val="left"/>
        <w:rPr>
          <w:lang w:val="en-US"/>
        </w:rPr>
      </w:pPr>
      <w:r>
        <w:rPr>
          <w:lang w:val="en-US"/>
        </w:rPr>
        <w:t xml:space="preserve">Ghosh, Maji, Narayana &amp; Naskar, "IndicFinNLP: Financial Natural Language Processing for Indian Languages," LREC-COLING, 2024, pp. 9010–9018.</w:t>
      </w:r>
      <w:r>
        <w:rPr>
          <w:lang w:val="en-US"/>
        </w:rPr>
      </w:r>
    </w:p>
    <w:p w14:paraId="6B0FEADF" w14:textId="315AB20E">
      <w:pPr>
        <w:pStyle w:val="681"/>
        <w:numPr>
          <w:ilvl w:val="0"/>
          <w:numId w:val="3"/>
        </w:numPr>
        <w:pBdr/>
        <w:spacing/>
        <w:ind/>
        <w:jc w:val="left"/>
        <w:rPr>
          <w:lang w:val="en-US"/>
        </w:rPr>
      </w:pPr>
      <w:r>
        <w:rPr>
          <w:lang w:val="en-US"/>
        </w:rPr>
        <w:t xml:space="preserve">Jørgensen, Brandt, Hartmann, Dai, Igel &amp; Elliott, "MultiFin: A Dataset for Multilingual Financial NLP," Findings of EACL, 2023, pp. 894–909.</w:t>
      </w:r>
      <w:r>
        <w:rPr>
          <w:lang w:val="en-US"/>
        </w:rPr>
      </w:r>
    </w:p>
    <w:p w14:paraId="70323923" w14:textId="6F557B7A">
      <w:pPr>
        <w:pStyle w:val="681"/>
        <w:numPr>
          <w:ilvl w:val="0"/>
          <w:numId w:val="3"/>
        </w:numPr>
        <w:pBdr/>
        <w:spacing/>
        <w:ind/>
        <w:jc w:val="left"/>
        <w:rPr/>
      </w:pPr>
      <w:r>
        <w:rPr>
          <w:lang w:val="en-US"/>
        </w:rPr>
        <w:t xml:space="preserve">Chen, Huang, Takamura &amp; Chen, "Numeracy-600K: Learning Numeracy for Detecting Exaggerated Information in Market Comments," ACL, 2019, pp. 6307–6313.</w:t>
      </w:r>
      <w:r/>
    </w:p>
    <w:p w14:paraId="7161A757" w14:textId="32FB2277">
      <w:pPr>
        <w:pStyle w:val="681"/>
        <w:numPr>
          <w:ilvl w:val="0"/>
          <w:numId w:val="3"/>
        </w:numPr>
        <w:pBdr/>
        <w:spacing/>
        <w:ind/>
        <w:jc w:val="left"/>
        <w:rPr/>
      </w:pPr>
      <w:r>
        <w:rPr>
          <w:lang w:val="en-US"/>
        </w:rPr>
        <w:t xml:space="preserve">Huang, Wang &amp; Yang, "FinBERT: A Large Language Model for Extracting Information from Financial Text," Contemporary Accounting Research, vol. 40, no. 2, 2023, pp. 806–841.</w:t>
      </w:r>
      <w:r/>
    </w:p>
    <w:p w14:paraId="54F9FE5F" w14:textId="690DF9E8">
      <w:pPr>
        <w:pStyle w:val="681"/>
        <w:numPr>
          <w:ilvl w:val="0"/>
          <w:numId w:val="3"/>
        </w:numPr>
        <w:pBdr/>
        <w:spacing/>
        <w:ind/>
        <w:jc w:val="left"/>
        <w:rPr>
          <w:lang w:val="en-US"/>
        </w:rPr>
      </w:pPr>
      <w:r>
        <w:rPr>
          <w:lang w:val="en-US"/>
        </w:rPr>
        <w:t xml:space="preserve">Chen, Tseng, Kang, Lhuissier, Seki, Day, Tu &amp; Chen, "Multi-Lingual ESG Impact Type Identification (ML-ESG-2)," FinNLP @ IJCNLP-AACL, 2023, pp. 46–50.</w:t>
      </w:r>
      <w:r>
        <w:rPr>
          <w:lang w:val="en-US"/>
        </w:rPr>
      </w:r>
    </w:p>
    <w:p w14:paraId="276D8896" w14:textId="726072F2">
      <w:pPr>
        <w:pStyle w:val="681"/>
        <w:numPr>
          <w:ilvl w:val="0"/>
          <w:numId w:val="3"/>
        </w:numPr>
        <w:pBdr/>
        <w:spacing/>
        <w:ind/>
        <w:jc w:val="left"/>
        <w:rPr>
          <w:lang w:val="en-US"/>
        </w:rPr>
      </w:pPr>
      <w:r>
        <w:rPr>
          <w:lang w:val="en-US"/>
        </w:rPr>
        <w:t xml:space="preserve">Lee, Stevens &amp; Han, "Large Language Models in Finance (FinLLMs)," Neural Computing and Applications, vol. 37, 2025, pp. 24853–24867.</w:t>
      </w:r>
      <w:r>
        <w:rPr>
          <w:lang w:val="en-US"/>
        </w:rPr>
      </w:r>
    </w:p>
    <w:p w14:paraId="4937B58B" w14:textId="7E8C2DCA">
      <w:pPr>
        <w:pStyle w:val="681"/>
        <w:numPr>
          <w:ilvl w:val="0"/>
          <w:numId w:val="3"/>
        </w:numPr>
        <w:pBdr/>
        <w:spacing/>
        <w:ind/>
        <w:jc w:val="left"/>
        <w:rPr/>
      </w:pPr>
      <w:r>
        <w:rPr>
          <w:lang w:val="en-US"/>
        </w:rPr>
        <w:t xml:space="preserve">Kakwani, Kunchukuttan, Golla, Gokul, Bhattacharyya, Khapra &amp; Kumar, "IndicNLPSuite," Findings of EMNLP, 2020, pp. 4948–4961.</w:t>
      </w:r>
      <w:r/>
    </w:p>
    <w:p w14:paraId="5467F7D3" w14:textId="55FF88F1">
      <w:pPr>
        <w:pStyle w:val="681"/>
        <w:numPr>
          <w:ilvl w:val="0"/>
          <w:numId w:val="3"/>
        </w:numPr>
        <w:pBdr/>
        <w:spacing/>
        <w:ind/>
        <w:jc w:val="left"/>
        <w:rPr/>
      </w:pPr>
      <w:r>
        <w:rPr>
          <w:lang w:val="en-US"/>
        </w:rPr>
        <w:t xml:space="preserve">Doddapaneni, Aralikatte, Ramesh, Goyal, Khapra, Kunchukuttan &amp; Kumar, "Towards Leaving No Indic Language Behind: Building Monolingual Corpora, Benchmark and Models for Indic Languages (IndicXTREME, IndicBERT v2)," ACL, 2023, pp. 12402–12426.</w:t>
      </w:r>
      <w:r/>
    </w:p>
    <w:p w14:paraId="3CC0C6EF" w14:textId="36BFD855">
      <w:pPr>
        <w:pStyle w:val="681"/>
        <w:numPr>
          <w:ilvl w:val="0"/>
          <w:numId w:val="3"/>
        </w:numPr>
        <w:pBdr/>
        <w:spacing/>
        <w:ind/>
        <w:jc w:val="left"/>
        <w:rPr/>
      </w:pPr>
      <w:r>
        <w:rPr>
          <w:lang w:val="en-US"/>
        </w:rPr>
        <w:t xml:space="preserve">Aggarwal, Gupta &amp; Kunchukuttan, "IndicXNLI: Evaluating Multilingual Inference for Indian Languages," EMNLP, 2022, pp. 10994–11006.</w:t>
      </w:r>
      <w:r/>
    </w:p>
    <w:p w14:paraId="3890AD96" w14:textId="071E36DD">
      <w:pPr>
        <w:pStyle w:val="681"/>
        <w:numPr>
          <w:ilvl w:val="0"/>
          <w:numId w:val="3"/>
        </w:numPr>
        <w:pBdr/>
        <w:spacing/>
        <w:ind/>
        <w:jc w:val="left"/>
        <w:rPr/>
      </w:pPr>
      <w:r>
        <w:rPr>
          <w:lang w:val="en-US"/>
        </w:rPr>
        <w:t xml:space="preserve">Nag, Bhattacharyya, Mukherjee, Chakrabarti et al., "Transfer Learning for Low-Resource Multilingual Relation Classification (IndoRE)," ACM Transactions on Asian and Low-Resource Language Information Processing (TALLIP).</w:t>
      </w:r>
      <w:r/>
    </w:p>
    <w:p w14:paraId="426872DC" w14:textId="2C273642">
      <w:pPr>
        <w:pStyle w:val="681"/>
        <w:numPr>
          <w:ilvl w:val="0"/>
          <w:numId w:val="3"/>
        </w:numPr>
        <w:pBdr/>
        <w:spacing/>
        <w:ind/>
        <w:jc w:val="left"/>
        <w:rPr/>
      </w:pPr>
      <w:r>
        <w:rPr>
          <w:lang w:val="en-US"/>
        </w:rPr>
        <w:t xml:space="preserve">"How Much Data in Low-Resource Indian Languages is 'Sufficient' for Transfer Learning: A Comparative Study for POS Annotation," ACM TALLIP, vol. 25, no. 1, 2026.</w:t>
      </w:r>
      <w:r/>
    </w:p>
    <w:p w14:paraId="0A415913" w14:textId="6FF399C9">
      <w:pPr>
        <w:pStyle w:val="681"/>
        <w:numPr>
          <w:ilvl w:val="0"/>
          <w:numId w:val="3"/>
        </w:numPr>
        <w:pBdr/>
        <w:spacing/>
        <w:ind/>
        <w:jc w:val="left"/>
        <w:rPr/>
      </w:pPr>
      <w:r>
        <w:rPr>
          <w:lang w:val="en-US"/>
        </w:rPr>
        <w:t xml:space="preserve">Pires, Schlinger &amp; Garrette, "How Multilingual is Multilingual BERT?," ACL, 2019, pp. 4996–5001.</w:t>
      </w:r>
      <w:r/>
    </w:p>
    <w:p w14:paraId="66996195" w14:textId="76602C4F">
      <w:pPr>
        <w:pStyle w:val="681"/>
        <w:numPr>
          <w:ilvl w:val="0"/>
          <w:numId w:val="3"/>
        </w:numPr>
        <w:pBdr/>
        <w:spacing/>
        <w:ind/>
        <w:jc w:val="left"/>
        <w:rPr/>
      </w:pPr>
      <w:r>
        <w:rPr>
          <w:lang w:val="en-US"/>
        </w:rPr>
        <w:t xml:space="preserve">Conneau, Khandelwal, Goyal, Chaudhary, Wenzek, Guzmán, Grave, Ott, Zettlemoyer &amp; Stoyanov, "Unsupervised Cross-lingual Representation Learning at Scale (XLM-R)," ACL, 2020, pp. 8440–8451.</w:t>
      </w:r>
      <w:r/>
    </w:p>
    <w:p w14:paraId="76430291" w14:textId="1D463A66">
      <w:pPr>
        <w:pStyle w:val="681"/>
        <w:numPr>
          <w:ilvl w:val="0"/>
          <w:numId w:val="3"/>
        </w:numPr>
        <w:pBdr/>
        <w:spacing/>
        <w:ind/>
        <w:jc w:val="left"/>
        <w:rPr>
          <w:lang w:val="en-US"/>
        </w:rPr>
      </w:pPr>
      <w:r>
        <w:rPr>
          <w:lang w:val="en-US"/>
        </w:rPr>
        <w:t xml:space="preserve">Hu, Ruder, Siddhant, Neubig, Firat &amp; Johnson, "XTREME: A Massively Multilingual Multi-task Benchmark for Evaluating Cross-lingual Generalisation," ICML, PMLR vol. 119, 2020, pp. 4411–4421.</w:t>
      </w:r>
      <w:r>
        <w:rPr>
          <w:lang w:val="en-US"/>
        </w:rPr>
      </w:r>
    </w:p>
    <w:p w14:paraId="4A7730FE" w14:textId="384415C2">
      <w:pPr>
        <w:pStyle w:val="681"/>
        <w:numPr>
          <w:ilvl w:val="0"/>
          <w:numId w:val="3"/>
        </w:numPr>
        <w:pBdr/>
        <w:spacing w:after="240" w:afterAutospacing="0" w:before="240" w:beforeAutospacing="0"/>
        <w:ind/>
        <w:rPr/>
      </w:pPr>
      <w:r>
        <w:rPr>
          <w:lang w:val="en-US"/>
        </w:rPr>
        <w:t xml:space="preserve">Lauscher, Ravishankar, Vulić &amp; Glavaš, "From Zero to Hero: On the Limitations of Zero-Shot Language Transfer with Multilingual Transformers," EMNLP, 2020, pp. 4483–4499.</w:t>
      </w:r>
      <w:r/>
    </w:p>
    <w:p w14:paraId="6FA3B1DD" w14:textId="48D5530D">
      <w:pPr>
        <w:pStyle w:val="681"/>
        <w:numPr>
          <w:ilvl w:val="0"/>
          <w:numId w:val="3"/>
        </w:numPr>
        <w:pBdr/>
        <w:spacing w:after="240" w:afterAutospacing="0" w:before="240" w:beforeAutospacing="0"/>
        <w:ind/>
        <w:rPr/>
      </w:pPr>
      <w:r>
        <w:rPr>
          <w:lang w:val="en-US"/>
        </w:rPr>
        <w:t xml:space="preserve">Lin, Chen, Lee, Li, Zhang, Xia, Rijhwani, He, Zhang, Ma, Anastasopoulos, Littell &amp; Neubig, "Choosing Transfer Languages for Cross-Lingual Learning," ACL, 2019, pp. 3125–3135.</w:t>
      </w:r>
      <w:r/>
    </w:p>
    <w:p w14:paraId="79FD1EB5" w14:textId="02543967">
      <w:pPr>
        <w:pStyle w:val="681"/>
        <w:numPr>
          <w:ilvl w:val="0"/>
          <w:numId w:val="3"/>
        </w:numPr>
        <w:pBdr/>
        <w:spacing w:after="240" w:afterAutospacing="0" w:before="240" w:beforeAutospacing="0"/>
        <w:ind/>
        <w:rPr/>
      </w:pPr>
      <w:r>
        <w:rPr>
          <w:lang w:val="en-US"/>
        </w:rPr>
        <w:t xml:space="preserve">Pfeiffer, Vulić, Gurevych &amp; Ruder, "MAD-X: An Adapter-Based Framework for Multi-Task Cross-Lingual Transfer," EMNLP, 2020, pp. 7654–7673.</w:t>
      </w:r>
      <w:r/>
    </w:p>
    <w:p w14:paraId="48C17092" w14:textId="54C9F38B">
      <w:pPr>
        <w:pStyle w:val="681"/>
        <w:numPr>
          <w:ilvl w:val="0"/>
          <w:numId w:val="3"/>
        </w:numPr>
        <w:pBdr/>
        <w:spacing w:after="240" w:afterAutospacing="0" w:before="240" w:beforeAutospacing="0"/>
        <w:ind/>
        <w:rPr>
          <w:lang w:val="en-US"/>
        </w:rPr>
      </w:pPr>
      <w:r>
        <w:rPr>
          <w:lang w:val="en-US"/>
        </w:rPr>
        <w:t xml:space="preserve">Artetxe, Goswami, Bhosale, Fan &amp; Zettlemoyer, "Revisiting Machine Translation for Cross-lingual Classification," EMNLP, 2023, pp. 6489–6499.</w:t>
      </w:r>
      <w:r>
        <w:rPr>
          <w:lang w:val="en-US"/>
        </w:rPr>
      </w:r>
    </w:p>
    <w:p w14:paraId="2F63834B" w14:textId="558D7F3F">
      <w:pPr>
        <w:pStyle w:val="681"/>
        <w:numPr>
          <w:ilvl w:val="0"/>
          <w:numId w:val="3"/>
        </w:numPr>
        <w:pBdr/>
        <w:spacing w:after="240" w:afterAutospacing="0" w:before="240" w:beforeAutospacing="0"/>
        <w:ind/>
        <w:rPr/>
      </w:pPr>
      <w:r>
        <w:rPr>
          <w:lang w:val="en-US"/>
        </w:rPr>
        <w:t xml:space="preserve">Agrawal, Fazili &amp; Jyothi, "Translation Errors Significantly Impact Low-Resource Languages in Cross-Lingual Learning," EACL (short papers), 2024, pp. 319–329.</w:t>
      </w:r>
      <w:r/>
    </w:p>
    <w:p w14:paraId="52DB1CA0" w14:textId="2744746D">
      <w:pPr>
        <w:pStyle w:val="681"/>
        <w:numPr>
          <w:ilvl w:val="0"/>
          <w:numId w:val="3"/>
        </w:numPr>
        <w:pBdr/>
        <w:spacing w:after="240" w:afterAutospacing="0" w:before="240" w:beforeAutospacing="0"/>
        <w:ind/>
        <w:rPr>
          <w:lang w:val="en-US"/>
        </w:rPr>
      </w:pPr>
      <w:r>
        <w:rPr>
          <w:lang w:val="en-US"/>
        </w:rPr>
        <w:t xml:space="preserve">Mabokela, Çelik &amp; </w:t>
      </w:r>
      <w:r>
        <w:rPr>
          <w:lang w:val="en-US"/>
        </w:rPr>
        <w:t xml:space="preserve">Raborife</w:t>
      </w:r>
      <w:r>
        <w:rPr>
          <w:lang w:val="en-US"/>
        </w:rPr>
        <w:t xml:space="preserve">, "Multilingual Sentiment Analysis for Under-Resourced Languages: A Systematic Review of the Landscape," IEEE Access, vol. 11, 2023, pp. 15996–16020.</w:t>
      </w:r>
      <w:r>
        <w:rPr>
          <w:lang w:val="en-US"/>
        </w:rPr>
      </w:r>
    </w:p>
    <w:p>
      <w:pPr>
        <w:pStyle w:val="681"/>
        <w:numPr>
          <w:ilvl w:val="0"/>
          <w:numId w:val="3"/>
        </w:numPr>
        <w:pBdr/>
        <w:spacing w:after="240" w:afterAutospacing="0" w:before="240" w:beforeAutospacing="0"/>
        <w:ind/>
        <w:rPr>
          <w:lang w:val="en-US"/>
        </w:rPr>
      </w:pPr>
      <w:r>
        <w:rPr>
          <w:lang w:val="en-US"/>
        </w:rPr>
        <w:t xml:space="preserve">Gala et al., "IndicTrans2: Towards High-Quality and Accessible Machine Translation Models for all 22 Scheduled Indian Languages," Transactions on Machine Learning Research (TMLR), 2023.</w:t>
      </w:r>
      <w:r>
        <w:rPr>
          <w:lang w:val="en-US"/>
        </w:rPr>
        <w:t xml:space="preserve"/>
      </w:r>
      <w:r>
        <w:rPr>
          <w:lang w:val="en-US"/>
        </w:rPr>
        <w:t xml:space="preserve"/>
      </w:r>
      <w:r>
        <w:rPr>
          <w:lang w:val="en-US"/>
        </w:rPr>
      </w:r>
    </w:p>
    <w:p>
      <w:pPr>
        <w:pStyle w:val="681"/>
        <w:numPr>
          <w:ilvl w:val="0"/>
          <w:numId w:val="3"/>
        </w:numPr>
        <w:pBdr/>
        <w:spacing w:after="240" w:afterAutospacing="0" w:before="240" w:beforeAutospacing="0"/>
        <w:ind/>
        <w:rPr>
          <w:lang w:val="en-US"/>
        </w:rPr>
      </w:pPr>
      <w:r>
        <w:rPr>
          <w:lang w:val="en-US"/>
        </w:rPr>
        <w:t xml:space="preserve">Feng, Yang, Cer, Arivazhagan &amp; Wang, "Language-agnostic BERT Sentence Embedding (LaBSE)," ACL, 2022, pp. 878–891.</w:t>
      </w:r>
      <w:r>
        <w:rPr>
          <w:lang w:val="en-US"/>
        </w:rPr>
        <w:t xml:space="preserve"/>
      </w:r>
      <w:r>
        <w:rPr>
          <w:lang w:val="en-US"/>
        </w:rPr>
        <w:t xml:space="preserve"/>
      </w:r>
      <w:r>
        <w:rPr>
          <w:lang w:val="en-US"/>
        </w:rPr>
      </w:r>
    </w:p>
    <w:p w14:paraId="753F6CA8" w14:textId="4BB2DDA7">
      <w:pPr>
        <w:pStyle w:val="676"/>
        <w:pBdr/>
        <w:spacing/>
        <w:ind/>
        <w:jc w:val="left"/>
        <w:rPr>
          <w:rFonts w:ascii="system-ui" w:hAnsi="system-ui" w:eastAsia="system-ui" w:cs="system-ui"/>
          <w:b w:val="0"/>
          <w:bCs w:val="0"/>
          <w:i w:val="0"/>
          <w:iCs w:val="0"/>
          <w:caps w:val="0"/>
          <w:smallCaps w:val="0"/>
          <w:color w:val="2b2d38"/>
          <w:sz w:val="22"/>
          <w:szCs w:val="22"/>
          <w:lang w:val="en-US"/>
        </w:rPr>
      </w:pP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stem-ui">
    <w:panose1 w:val="02000009000000000000"/>
  </w:font>
  <w:font w:name="Times New Roman">
    <w:panose1 w:val="02020603050405020304"/>
  </w:font>
  <w:font w:name="Liberation Serif">
    <w:panose1 w:val="02020603050405020304"/>
  </w:font>
  <w:font w:name="Aptos Display">
    <w:panose1 w:val="02000009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FBA574"/>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3D395460"/>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32078E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1A9F7EA"/>
    <w:lvl w:ilvl="0">
      <w:isLgl w:val="false"/>
      <w:lvlJc w:val="left"/>
      <w:lvlText w:val="%1."/>
      <w:numFmt w:val="upp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0972B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CD90D0A"/>
    <w:lvl w:ilvl="0">
      <w:isLgl w:val="false"/>
      <w:lvlJc w:val="left"/>
      <w:lvlText w:val="%1."/>
      <w:numFmt w:val="upperRoman"/>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n-US" w:eastAsia="ja-JP" w:bidi="ar-SA"/>
      </w:rPr>
    </w:rPrDefault>
    <w:pPrDefault>
      <w:pPr>
        <w:pBdr/>
        <w:spacing w:after="160" w:afterAutospacing="0" w:before="0" w:beforeAutospacing="0" w:line="27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76"/>
    <w:next w:val="676"/>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76"/>
    <w:next w:val="67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76"/>
    <w:next w:val="67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76"/>
    <w:next w:val="67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76"/>
    <w:next w:val="67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76"/>
    <w:next w:val="67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6"/>
    <w:next w:val="67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6"/>
    <w:next w:val="67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77"/>
    <w:link w:val="680"/>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142"/>
    <w:uiPriority w:val="9"/>
    <w:pPr>
      <w:pBdr/>
      <w:spacing/>
      <w:ind/>
    </w:pPr>
    <w:rPr>
      <w:rFonts w:ascii="Arial" w:hAnsi="Arial" w:eastAsia="Arial" w:cs="Arial"/>
      <w:i/>
      <w:iCs/>
      <w:color w:val="0f4761" w:themeColor="accent1" w:themeShade="BF"/>
    </w:rPr>
  </w:style>
  <w:style w:type="character" w:styleId="154">
    <w:name w:val="Heading 5 Char"/>
    <w:basedOn w:val="677"/>
    <w:link w:val="143"/>
    <w:uiPriority w:val="9"/>
    <w:pPr>
      <w:pBdr/>
      <w:spacing/>
      <w:ind/>
    </w:pPr>
    <w:rPr>
      <w:rFonts w:ascii="Arial" w:hAnsi="Arial" w:eastAsia="Arial" w:cs="Arial"/>
      <w:color w:val="0f4761" w:themeColor="accent1" w:themeShade="BF"/>
    </w:rPr>
  </w:style>
  <w:style w:type="character" w:styleId="155">
    <w:name w:val="Heading 6 Char"/>
    <w:basedOn w:val="677"/>
    <w:link w:val="144"/>
    <w:uiPriority w:val="9"/>
    <w:pPr>
      <w:pBdr/>
      <w:spacing/>
      <w:ind/>
    </w:pPr>
    <w:rPr>
      <w:rFonts w:ascii="Arial" w:hAnsi="Arial" w:eastAsia="Arial" w:cs="Arial"/>
      <w:i/>
      <w:iCs/>
      <w:color w:val="595959" w:themeColor="text1" w:themeTint="A6"/>
    </w:rPr>
  </w:style>
  <w:style w:type="character" w:styleId="156">
    <w:name w:val="Heading 7 Char"/>
    <w:basedOn w:val="677"/>
    <w:link w:val="145"/>
    <w:uiPriority w:val="9"/>
    <w:pPr>
      <w:pBdr/>
      <w:spacing/>
      <w:ind/>
    </w:pPr>
    <w:rPr>
      <w:rFonts w:ascii="Arial" w:hAnsi="Arial" w:eastAsia="Arial" w:cs="Arial"/>
      <w:color w:val="595959" w:themeColor="text1" w:themeTint="A6"/>
    </w:rPr>
  </w:style>
  <w:style w:type="character" w:styleId="157">
    <w:name w:val="Heading 8 Char"/>
    <w:basedOn w:val="677"/>
    <w:link w:val="146"/>
    <w:uiPriority w:val="9"/>
    <w:pPr>
      <w:pBdr/>
      <w:spacing/>
      <w:ind/>
    </w:pPr>
    <w:rPr>
      <w:rFonts w:ascii="Arial" w:hAnsi="Arial" w:eastAsia="Arial" w:cs="Arial"/>
      <w:i/>
      <w:iCs/>
      <w:color w:val="272727" w:themeColor="text1" w:themeTint="D8"/>
    </w:rPr>
  </w:style>
  <w:style w:type="character" w:styleId="158">
    <w:name w:val="Heading 9 Char"/>
    <w:basedOn w:val="677"/>
    <w:link w:val="147"/>
    <w:uiPriority w:val="9"/>
    <w:pPr>
      <w:pBdr/>
      <w:spacing/>
      <w:ind/>
    </w:pPr>
    <w:rPr>
      <w:rFonts w:ascii="Arial" w:hAnsi="Arial" w:eastAsia="Arial" w:cs="Arial"/>
      <w:i/>
      <w:iCs/>
      <w:color w:val="272727" w:themeColor="text1" w:themeTint="D8"/>
    </w:rPr>
  </w:style>
  <w:style w:type="paragraph" w:styleId="159">
    <w:name w:val="Title"/>
    <w:basedOn w:val="676"/>
    <w:next w:val="67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77"/>
    <w:link w:val="159"/>
    <w:uiPriority w:val="10"/>
    <w:pPr>
      <w:pBdr/>
      <w:spacing/>
      <w:ind/>
    </w:pPr>
    <w:rPr>
      <w:rFonts w:ascii="Arial" w:hAnsi="Arial" w:eastAsia="Arial" w:cs="Arial"/>
      <w:spacing w:val="-10"/>
      <w:sz w:val="56"/>
      <w:szCs w:val="56"/>
    </w:rPr>
  </w:style>
  <w:style w:type="paragraph" w:styleId="161">
    <w:name w:val="Subtitle"/>
    <w:basedOn w:val="676"/>
    <w:next w:val="676"/>
    <w:link w:val="162"/>
    <w:uiPriority w:val="11"/>
    <w:qFormat/>
    <w:pPr>
      <w:numPr>
        <w:ilvl w:val="1"/>
      </w:numPr>
      <w:pBdr/>
      <w:spacing/>
      <w:ind/>
    </w:pPr>
    <w:rPr>
      <w:color w:val="595959" w:themeColor="text1" w:themeTint="A6"/>
      <w:spacing w:val="15"/>
      <w:sz w:val="28"/>
      <w:szCs w:val="28"/>
    </w:rPr>
  </w:style>
  <w:style w:type="character" w:styleId="162">
    <w:name w:val="Subtitle Char"/>
    <w:basedOn w:val="677"/>
    <w:link w:val="161"/>
    <w:uiPriority w:val="11"/>
    <w:pPr>
      <w:pBdr/>
      <w:spacing/>
      <w:ind/>
    </w:pPr>
    <w:rPr>
      <w:color w:val="595959" w:themeColor="text1" w:themeTint="A6"/>
      <w:spacing w:val="15"/>
      <w:sz w:val="28"/>
      <w:szCs w:val="28"/>
    </w:rPr>
  </w:style>
  <w:style w:type="paragraph" w:styleId="163">
    <w:name w:val="Quote"/>
    <w:basedOn w:val="676"/>
    <w:next w:val="676"/>
    <w:link w:val="164"/>
    <w:uiPriority w:val="29"/>
    <w:qFormat/>
    <w:pPr>
      <w:pBdr/>
      <w:spacing w:before="160"/>
      <w:ind/>
      <w:jc w:val="center"/>
    </w:pPr>
    <w:rPr>
      <w:i/>
      <w:iCs/>
      <w:color w:val="404040" w:themeColor="text1" w:themeTint="BF"/>
    </w:rPr>
  </w:style>
  <w:style w:type="character" w:styleId="164">
    <w:name w:val="Quote Char"/>
    <w:basedOn w:val="677"/>
    <w:link w:val="163"/>
    <w:uiPriority w:val="29"/>
    <w:pPr>
      <w:pBdr/>
      <w:spacing/>
      <w:ind/>
    </w:pPr>
    <w:rPr>
      <w:i/>
      <w:iCs/>
      <w:color w:val="404040" w:themeColor="text1" w:themeTint="BF"/>
    </w:rPr>
  </w:style>
  <w:style w:type="character" w:styleId="166">
    <w:name w:val="Intense Emphasis"/>
    <w:basedOn w:val="677"/>
    <w:uiPriority w:val="21"/>
    <w:qFormat/>
    <w:pPr>
      <w:pBdr/>
      <w:spacing/>
      <w:ind/>
    </w:pPr>
    <w:rPr>
      <w:i/>
      <w:iCs/>
      <w:color w:val="0f4761" w:themeColor="accent1" w:themeShade="BF"/>
    </w:rPr>
  </w:style>
  <w:style w:type="paragraph" w:styleId="167">
    <w:name w:val="Intense Quote"/>
    <w:basedOn w:val="676"/>
    <w:next w:val="67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7"/>
    <w:link w:val="167"/>
    <w:uiPriority w:val="30"/>
    <w:pPr>
      <w:pBdr/>
      <w:spacing/>
      <w:ind/>
    </w:pPr>
    <w:rPr>
      <w:i/>
      <w:iCs/>
      <w:color w:val="0f4761" w:themeColor="accent1" w:themeShade="BF"/>
    </w:rPr>
  </w:style>
  <w:style w:type="character" w:styleId="169">
    <w:name w:val="Intense Reference"/>
    <w:basedOn w:val="677"/>
    <w:uiPriority w:val="32"/>
    <w:qFormat/>
    <w:pPr>
      <w:pBdr/>
      <w:spacing/>
      <w:ind/>
    </w:pPr>
    <w:rPr>
      <w:b/>
      <w:bCs/>
      <w:smallCaps/>
      <w:color w:val="0f4761" w:themeColor="accent1" w:themeShade="BF"/>
      <w:spacing w:val="5"/>
    </w:rPr>
  </w:style>
  <w:style w:type="paragraph" w:styleId="170">
    <w:name w:val="No Spacing"/>
    <w:basedOn w:val="676"/>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76"/>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76"/>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76"/>
    <w:next w:val="676"/>
    <w:uiPriority w:val="35"/>
    <w:unhideWhenUsed/>
    <w:qFormat/>
    <w:pPr>
      <w:pBdr/>
      <w:spacing w:after="200" w:line="240" w:lineRule="auto"/>
      <w:ind/>
    </w:pPr>
    <w:rPr>
      <w:i/>
      <w:iCs/>
      <w:color w:val="0e2841" w:themeColor="text2"/>
      <w:sz w:val="18"/>
      <w:szCs w:val="18"/>
    </w:rPr>
  </w:style>
  <w:style w:type="paragraph" w:styleId="181">
    <w:name w:val="footnote text"/>
    <w:basedOn w:val="676"/>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76"/>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76"/>
    <w:next w:val="676"/>
    <w:uiPriority w:val="39"/>
    <w:unhideWhenUsed/>
    <w:pPr>
      <w:pBdr/>
      <w:spacing w:after="100"/>
      <w:ind/>
    </w:pPr>
  </w:style>
  <w:style w:type="paragraph" w:styleId="190">
    <w:name w:val="toc 2"/>
    <w:basedOn w:val="676"/>
    <w:next w:val="676"/>
    <w:uiPriority w:val="39"/>
    <w:unhideWhenUsed/>
    <w:pPr>
      <w:pBdr/>
      <w:spacing w:after="100"/>
      <w:ind w:left="220"/>
    </w:pPr>
  </w:style>
  <w:style w:type="paragraph" w:styleId="191">
    <w:name w:val="toc 3"/>
    <w:basedOn w:val="676"/>
    <w:next w:val="676"/>
    <w:uiPriority w:val="39"/>
    <w:unhideWhenUsed/>
    <w:pPr>
      <w:pBdr/>
      <w:spacing w:after="100"/>
      <w:ind w:left="440"/>
    </w:pPr>
  </w:style>
  <w:style w:type="paragraph" w:styleId="192">
    <w:name w:val="toc 4"/>
    <w:basedOn w:val="676"/>
    <w:next w:val="676"/>
    <w:uiPriority w:val="39"/>
    <w:unhideWhenUsed/>
    <w:pPr>
      <w:pBdr/>
      <w:spacing w:after="100"/>
      <w:ind w:left="660"/>
    </w:pPr>
  </w:style>
  <w:style w:type="paragraph" w:styleId="193">
    <w:name w:val="toc 5"/>
    <w:basedOn w:val="676"/>
    <w:next w:val="676"/>
    <w:uiPriority w:val="39"/>
    <w:unhideWhenUsed/>
    <w:pPr>
      <w:pBdr/>
      <w:spacing w:after="100"/>
      <w:ind w:left="880"/>
    </w:pPr>
  </w:style>
  <w:style w:type="paragraph" w:styleId="194">
    <w:name w:val="toc 6"/>
    <w:basedOn w:val="676"/>
    <w:next w:val="676"/>
    <w:uiPriority w:val="39"/>
    <w:unhideWhenUsed/>
    <w:pPr>
      <w:pBdr/>
      <w:spacing w:after="100"/>
      <w:ind w:left="1100"/>
    </w:pPr>
  </w:style>
  <w:style w:type="paragraph" w:styleId="195">
    <w:name w:val="toc 7"/>
    <w:basedOn w:val="676"/>
    <w:next w:val="676"/>
    <w:uiPriority w:val="39"/>
    <w:unhideWhenUsed/>
    <w:pPr>
      <w:pBdr/>
      <w:spacing w:after="100"/>
      <w:ind w:left="1320"/>
    </w:pPr>
  </w:style>
  <w:style w:type="paragraph" w:styleId="196">
    <w:name w:val="toc 8"/>
    <w:basedOn w:val="676"/>
    <w:next w:val="676"/>
    <w:uiPriority w:val="39"/>
    <w:unhideWhenUsed/>
    <w:pPr>
      <w:pBdr/>
      <w:spacing w:after="100"/>
      <w:ind w:left="1540"/>
    </w:pPr>
  </w:style>
  <w:style w:type="paragraph" w:styleId="197">
    <w:name w:val="toc 9"/>
    <w:basedOn w:val="676"/>
    <w:next w:val="676"/>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6"/>
    <w:next w:val="676"/>
    <w:uiPriority w:val="99"/>
    <w:unhideWhenUsed/>
    <w:pPr>
      <w:pBdr/>
      <w:spacing w:after="0" w:afterAutospacing="0"/>
      <w:ind/>
    </w:pPr>
  </w:style>
  <w:style w:type="paragraph" w:styleId="676" w:default="1">
    <w:name w:val="Normal"/>
    <w:qFormat/>
    <w:pPr>
      <w:pBdr/>
      <w:spacing/>
      <w:ind/>
    </w:p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paragraph" w:styleId="680">
    <w:name w:val="Heading 1"/>
    <w:basedOn w:val="676"/>
    <w:next w:val="676"/>
    <w:uiPriority w:val="9"/>
    <w:qFormat/>
    <w:pPr>
      <w:keepNext w:val="true"/>
      <w:keepLines w:val="true"/>
      <w:pBdr/>
      <w:spacing w:after="80" w:before="360"/>
      <w:ind/>
      <w:outlineLvl w:val="0"/>
    </w:pPr>
    <w:rPr>
      <w:rFonts w:ascii="Aptos Display" w:hAnsi="Aptos Display" w:asciiTheme="majorAscii" w:hAnsiTheme="majorAscii" w:eastAsiaTheme="majorEastAsia" w:cstheme="majorBidi"/>
      <w:color w:val="0f4761" w:themeColor="accent1" w:themeTint="FF" w:themeShade="BF"/>
      <w:sz w:val="40"/>
      <w:szCs w:val="40"/>
    </w:rPr>
  </w:style>
  <w:style w:type="paragraph" w:styleId="681">
    <w:name w:val="List Paragraph"/>
    <w:basedOn w:val="67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2026-10-13T13:53:12Z</dcterms:modified>
</cp:coreProperties>
</file>