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904"/>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pPr>
        <w:pStyle w:val="900"/>
        <w:pBdr/>
        <w:spacing/>
        <w:ind w:left="0"/>
        <w:jc w:val="both"/>
        <w:rPr/>
      </w:pPr>
      <w:r>
        <w:rPr>
          <w:rFonts w:ascii="Times New Roman" w:hAnsi="Times New Roman" w:eastAsia="Times New Roman" w:cs="Times New Roman"/>
          <w:b/>
          <w:i/>
          <w:sz w:val="24"/>
          <w:szCs w:val="24"/>
        </w:rPr>
        <w:t xml:space="preserve">Abstract—</w:t>
      </w:r>
      <w:r>
        <w:rPr>
          <w:rFonts w:ascii="Times New Roman" w:hAnsi="Times New Roman" w:eastAsia="Times New Roman" w:cs="Times New Roman"/>
          <w:sz w:val="24"/>
          <w:szCs w:val="24"/>
        </w:rPr>
        <w:t xml:space="preserve">Multilingual language models transfer well on general language-understanding benchmarks, but it is not known whether they preserve financial meaning across Indic languages. IndicFinNLP was built for si</w:t>
      </w:r>
      <w:r>
        <w:rPr>
          <w:rFonts w:ascii="Times New Roman" w:hAnsi="Times New Roman" w:eastAsia="Times New Roman" w:cs="Times New Roman"/>
          <w:sz w:val="24"/>
          <w:szCs w:val="24"/>
        </w:rPr>
        <w:t xml:space="preserve">ngle-language baselines, and its language splits differ in topic, entity and difficulty, which confounds any comparison across languages. We build a controlled parallel corpus from IndicFinNLP in Hindi, Bengali, Telugu and Malayalam, translating each nativ</w:t>
      </w:r>
      <w:r>
        <w:rPr>
          <w:rFonts w:ascii="Times New Roman" w:hAnsi="Times New Roman" w:eastAsia="Times New Roman" w:cs="Times New Roman"/>
          <w:sz w:val="24"/>
          <w:szCs w:val="24"/>
        </w:rPr>
        <w:t xml:space="preserve">e split directly between Indic languages with IndicTrans2 into 92,760 machine-translated rows with labels unchanged. Every row is checked for numeral preservation, structural integrity and LaBSE similarity against a threshold calibrated on human translatio</w:t>
      </w:r>
      <w:r>
        <w:rPr>
          <w:rFonts w:ascii="Times New Roman" w:hAnsi="Times New Roman" w:eastAsia="Times New Roman" w:cs="Times New Roman"/>
          <w:sz w:val="24"/>
          <w:szCs w:val="24"/>
        </w:rPr>
        <w:t xml:space="preserve">ns, and is flagged rather than dropped. An independence audit shows that the sustainability and ESG-theme splits are already parallel, while the numeral split is independently sourced. About one annotated financial numeral in six does not survive translati</w:t>
      </w:r>
      <w:r>
        <w:rPr>
          <w:rFonts w:ascii="Times New Roman" w:hAnsi="Times New Roman" w:eastAsia="Times New Roman" w:cs="Times New Roman"/>
          <w:sz w:val="24"/>
          <w:szCs w:val="24"/>
        </w:rPr>
        <w:t xml:space="preserve">on intact. We fine-tune IndicBERT and mBERT on one language and test zero-shot on the others with content held fixed. On sustainability classification this costs 0.26–0.45 macro-F1 with IndicBERT and 0.11–0.24 with mBERT, and Hindi is the worst source lang</w:t>
      </w:r>
      <w:r>
        <w:rPr>
          <w:rFonts w:ascii="Times New Roman" w:hAnsi="Times New Roman" w:eastAsia="Times New Roman" w:cs="Times New Roman"/>
          <w:sz w:val="24"/>
          <w:szCs w:val="24"/>
        </w:rPr>
        <w:t xml:space="preserve">uage for both. mBERT outperforms IndicBERT in all twelve Hindi-source cells. Moving into a Dravidian language costs more than moving into an Indo-Aryan one, both in sustainability transfer and in translation quality. A three-stage diagnostic router assigns</w:t>
      </w:r>
      <w:r>
        <w:rPr>
          <w:rFonts w:ascii="Times New Roman" w:hAnsi="Times New Roman" w:eastAsia="Times New Roman" w:cs="Times New Roman"/>
          <w:sz w:val="24"/>
          <w:szCs w:val="24"/>
        </w:rPr>
        <w:t xml:space="preserve"> each failure in 72 conditions a single cause. Linguistic causes account for only 8.8–12.0% of failures, and two linguistic modules predict failure no better than chance. We therefore report the size and shape of the transfer gap and leave its causes open.</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905"/>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0DD9E1" w14:textId="276AD2AB">
      <w:pPr>
        <w:pStyle w:val="905"/>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Financial text in Indic languages i</w:t>
      </w:r>
      <w:r>
        <w:rPr>
          <w:rFonts w:ascii="Times New Roman" w:hAnsi="Times New Roman" w:eastAsia="Times New Roman" w:cs="Times New Roman"/>
          <w:sz w:val="24"/>
          <w:szCs w:val="24"/>
        </w:rPr>
        <w:t xml:space="preserve">s growing quickly, but annotated resources remain scarce [26]. Multilingual pre-trained encoders make it possible to reuse labelled data from one language in another, and they transfer well on general language-understanding benchmarks [13], [14], [29]. Transfer degra</w:t>
      </w:r>
      <w:r>
        <w:rPr>
          <w:rFonts w:ascii="Times New Roman" w:hAnsi="Times New Roman" w:eastAsia="Times New Roman" w:cs="Times New Roman"/>
          <w:sz w:val="24"/>
          <w:szCs w:val="24"/>
        </w:rPr>
        <w:t xml:space="preserve">des sharply, however, in low-resource settings and between distant languages [15]. Finance adds demands of its own: domain terminology, numerals written in scale conventions such as lakh and crore, and named entities that must survive a change of language.</w:t>
      </w:r>
      <w:r/>
    </w:p>
    <w:p>
      <w:pPr>
        <w:pStyle w:val="900"/>
        <w:pBdr/>
        <w:spacing/>
        <w:ind w:firstLine="288" w:left="0"/>
        <w:jc w:val="both"/>
        <w:rPr/>
      </w:pPr>
      <w:r>
        <w:rPr>
          <w:rFonts w:ascii="Times New Roman" w:hAnsi="Times New Roman" w:eastAsia="Times New Roman" w:cs="Times New Roman"/>
          <w:sz w:val="24"/>
          <w:szCs w:val="24"/>
        </w:rPr>
        <w:t xml:space="preserve">IndicFinNLP [1] brings financial NLP to Hindi, Bengali and Telugu with three tasks: numeral detection, sustaina</w:t>
      </w:r>
      <w:r>
        <w:rPr>
          <w:rFonts w:ascii="Times New Roman" w:hAnsi="Times New Roman" w:eastAsia="Times New Roman" w:cs="Times New Roman"/>
          <w:sz w:val="24"/>
          <w:szCs w:val="24"/>
        </w:rPr>
        <w:t xml:space="preserve">bility classification and ESG-theme classification. It was built to provide single-language baselines, not to measure transfer. When the language splits contain sentences about different topics and entities, a performance difference between languages mixes</w:t>
      </w:r>
      <w:r>
        <w:rPr>
          <w:rFonts w:ascii="Times New Roman" w:hAnsi="Times New Roman" w:eastAsia="Times New Roman" w:cs="Times New Roman"/>
          <w:sz w:val="24"/>
          <w:szCs w:val="24"/>
        </w:rPr>
        <w:t xml:space="preserve"> the effect of language with changes in topic, entity and difficulty. Parallel test sets exist for Indic natural language understanding [8], [9], but none covers financial or ESG text, and no multilingual ESG shared task has included an Indic language [5]. The contributions of </w:t>
      </w:r>
      <w:r>
        <w:t xml:space="preserve">FLUE and FLANG [30] </w:t>
      </w:r>
      <w:r>
        <w:rPr>
          <w:rFonts w:ascii="Times New Roman" w:hAnsi="Times New Roman" w:eastAsia="Times New Roman" w:cs="Times New Roman"/>
          <w:sz w:val="24"/>
          <w:szCs w:val="24"/>
        </w:rPr>
        <w:t xml:space="preserve">include a financial benchmark for English and a pretrained model, but like FinBERT before, they do not happen to cover Indic languages.</w:t>
      </w:r>
      <w:r/>
    </w:p>
    <w:p>
      <w:pPr>
        <w:pStyle w:val="900"/>
        <w:pBdr/>
        <w:spacing/>
        <w:ind w:firstLine="288" w:left="0"/>
        <w:jc w:val="both"/>
        <w:rPr/>
      </w:pPr>
      <w:r>
        <w:rPr>
          <w:rFonts w:ascii="Times New Roman" w:hAnsi="Times New Roman" w:eastAsia="Times New Roman" w:cs="Times New Roman"/>
          <w:sz w:val="24"/>
          <w:szCs w:val="24"/>
        </w:rPr>
        <w:t xml:space="preserve">This leads to our research question: do multilingual language models preserve financial meaning when knowledge transfers between Indic languages? Answering it needs two things. The fir</w:t>
      </w:r>
      <w:r>
        <w:rPr>
          <w:rFonts w:ascii="Times New Roman" w:hAnsi="Times New Roman" w:eastAsia="Times New Roman" w:cs="Times New Roman"/>
          <w:sz w:val="24"/>
          <w:szCs w:val="24"/>
        </w:rPr>
        <w:t xml:space="preserve">st is a test set in which language is the only thing that changes. The second is an analysis of why transfer fails, in terms of the language and the financial content (terminology, numerals, morphology and tokenisation), rather than overall accuracy alone.</w:t>
      </w:r>
      <w:r/>
    </w:p>
    <w:p>
      <w:pPr>
        <w:pStyle w:val="900"/>
        <w:pBdr/>
        <w:spacing/>
        <w:ind w:firstLine="288" w:left="0"/>
        <w:jc w:val="both"/>
        <w:rPr/>
      </w:pPr>
      <w:r>
        <w:rPr>
          <w:rFonts w:ascii="Times New Roman" w:hAnsi="Times New Roman" w:eastAsia="Times New Roman" w:cs="Times New Roman"/>
          <w:sz w:val="24"/>
          <w:szCs w:val="24"/>
        </w:rPr>
        <w:t xml:space="preserve">A second concern shapes the design. Machine-translated parallel benchmark</w:t>
      </w:r>
      <w:r>
        <w:rPr>
          <w:rFonts w:ascii="Times New Roman" w:hAnsi="Times New Roman" w:eastAsia="Times New Roman" w:cs="Times New Roman"/>
          <w:sz w:val="24"/>
          <w:szCs w:val="24"/>
        </w:rPr>
        <w:t xml:space="preserve">s can silently measure translation quality instead of transfer, and low-resource languages suffer most [18], [19]. We therefore treat label validity and translation quality as quantities to measure, and we report every flagged row instead of discarding it.</w:t>
      </w:r>
      <w:r/>
    </w:p>
    <w:p>
      <w:pPr>
        <w:pStyle w:val="900"/>
        <w:pBdr/>
        <w:spacing/>
        <w:ind w:firstLine="288" w:left="0"/>
        <w:jc w:val="both"/>
        <w:rPr/>
      </w:pPr>
      <w:r>
        <w:rPr>
          <w:rFonts w:ascii="Times New Roman" w:hAnsi="Times New Roman" w:eastAsia="Times New Roman" w:cs="Times New Roman"/>
          <w:sz w:val="24"/>
          <w:szCs w:val="24"/>
        </w:rPr>
        <w:t xml:space="preserve">This paper makes the following contributions:</w:t>
      </w: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controlled parallel benchmark.</w:t>
      </w:r>
      <w:r>
        <w:rPr>
          <w:rFonts w:ascii="Times New Roman" w:hAnsi="Times New Roman" w:eastAsia="Times New Roman" w:cs="Times New Roman"/>
          <w:sz w:val="24"/>
          <w:szCs w:val="24"/>
        </w:rPr>
        <w:t xml:space="preserve"> We derive a four-way parallel financial corpus in Hindi, Bengali, Telugu and Malayalam from IndicFinNLP with every label intact. We audit which na</w:t>
      </w:r>
      <w:r>
        <w:rPr>
          <w:rFonts w:ascii="Times New Roman" w:hAnsi="Times New Roman" w:eastAsia="Times New Roman" w:cs="Times New Roman"/>
          <w:sz w:val="24"/>
          <w:szCs w:val="24"/>
        </w:rPr>
        <w:t xml:space="preserve">tive splits are already parallel, translate directly between Indic languages with IndicTrans2 [21], and apply layered quality gates to all 92,760 translated rows. These gates show that about one financial numeral in six does not survive translation intact.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systematic zero-shot transfer study.</w:t>
      </w:r>
      <w:r>
        <w:rPr>
          <w:rFonts w:ascii="Times New Roman" w:hAnsi="Times New Roman" w:eastAsia="Times New Roman" w:cs="Times New Roman"/>
          <w:sz w:val="24"/>
          <w:szCs w:val="24"/>
        </w:rPr>
        <w:t xml:space="preserve"> We compare three source languages (Hindi, Bengali and Telugu) and two encoders (IndicBERT [7] and mBERT [12]) across the full grid of 126 planned results per task, after validating the in-language baselines against published figures.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eastAsia="Times New Roman" w:cs="Times New Roman"/>
          <w:sz w:val="24"/>
          <w:szCs w:val="24"/>
        </w:rPr>
      </w:pPr>
      <w:r>
        <w:rPr>
          <w:rFonts w:ascii="Times New Roman" w:hAnsi="Times New Roman" w:eastAsia="Times New Roman" w:cs="Times New Roman"/>
          <w:i/>
          <w:sz w:val="24"/>
          <w:szCs w:val="24"/>
        </w:rPr>
        <w:t xml:space="preserve">A transfer-diagnostic framework.</w:t>
      </w:r>
      <w:r>
        <w:rPr>
          <w:rFonts w:ascii="Times New Roman" w:hAnsi="Times New Roman" w:eastAsia="Times New Roman" w:cs="Times New Roman"/>
          <w:sz w:val="24"/>
          <w:szCs w:val="24"/>
        </w:rPr>
        <w:t xml:space="preserve"> We present a three-stage router. It first filters out translation noise with a semantic gate, then assigns each f</w:t>
      </w:r>
      <w:r>
        <w:rPr>
          <w:rFonts w:ascii="Times New Roman" w:hAnsi="Times New Roman" w:eastAsia="Times New Roman" w:cs="Times New Roman"/>
          <w:sz w:val="24"/>
          <w:szCs w:val="24"/>
        </w:rPr>
        <w:t xml:space="preserve">ailure a single linguistic, data or model-behaviour cause, keeping an audit trail of every module that fired. Run over all 72 conditions, it shows that most failures are described by where they occur rather than by a linguistic property of the target text.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pPr>
      <w:r>
        <w:rPr>
          <w:rFonts w:ascii="Times New Roman" w:hAnsi="Times New Roman" w:eastAsia="Times New Roman" w:cs="Times New Roman"/>
          <w:sz w:val="24"/>
          <w:szCs w:val="24"/>
        </w:rPr>
        <w:t xml:space="preserve">Section II reviews related work, Section III describes the method, Section IV reports the results and Section V concludes.</w:t>
      </w:r>
      <w:r/>
    </w:p>
    <w:p w14:paraId="440216DF" w14:textId="17E5CC92">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2D028F1" w14:textId="28952FB0">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900"/>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70FCFAD" w14:textId="21D1DCF4">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BB2F75" w14:textId="680CEE89">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following the design created vy XNLI [24],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6877B97" w14:textId="7B70432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t xml:space="preserve">Wu and Dredze [23] likewise</w:t>
      </w:r>
      <w:r>
        <w:rPr>
          <w:rFonts w:ascii="system-ui" w:hAnsi="system-ui" w:eastAsia="system-ui" w:cs="system-ui"/>
          <w:b w:val="0"/>
          <w:bCs w:val="0"/>
          <w:i w:val="0"/>
          <w:iCs w:val="0"/>
          <w:caps w:val="0"/>
          <w:smallCaps w:val="0"/>
          <w:color w:val="2b2d38"/>
          <w:sz w:val="22"/>
          <w:szCs w:val="22"/>
          <w:lang w:val="en-US"/>
        </w:rPr>
        <w:t xml:space="preserve"> discovered that mBERT is able to reliable transfer zero-shot across a number of tasks and languages.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FA17C74" w14:textId="003946D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w:t>
      </w:r>
      <w:r>
        <w:rPr>
          <w:rFonts w:ascii="system-ui" w:hAnsi="system-ui" w:eastAsia="system-ui" w:cs="system-ui"/>
          <w:b w:val="0"/>
          <w:bCs w:val="0"/>
          <w:i w:val="0"/>
          <w:iCs w:val="0"/>
          <w:caps w:val="0"/>
          <w:smallCaps w:val="0"/>
          <w:color w:val="2b2d38"/>
          <w:sz w:val="22"/>
          <w:szCs w:val="22"/>
          <w:lang w:val="en-US"/>
        </w:rPr>
        <w:t xml:space="preserve">[24]</w:t>
      </w:r>
      <w:r>
        <w:rPr>
          <w:rFonts w:ascii="system-ui" w:hAnsi="system-ui" w:eastAsia="system-ui" w:cs="system-ui"/>
          <w:b w:val="0"/>
          <w:bCs w:val="0"/>
          <w:i w:val="0"/>
          <w:iCs w:val="0"/>
          <w:caps w:val="0"/>
          <w:smallCaps w:val="0"/>
          <w:color w:val="2b2d38"/>
          <w:sz w:val="22"/>
          <w:szCs w:val="22"/>
          <w:lang w:val="en-US"/>
        </w:rPr>
        <w:t xml:space="preserve">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905"/>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B19335C" w14:textId="7E2A653A">
      <w:pPr>
        <w:pStyle w:val="905"/>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[26]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900"/>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88FB2A">
      <w:pPr>
        <w:pStyle w:val="900"/>
        <w:pBdr/>
        <w:spacing/>
        <w:ind w:firstLine="288" w:left="0"/>
        <w:jc w:val="both"/>
        <w:rPr/>
      </w:pP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method has three parts, each one feeding into the next. First is the construction of a four-way corpus, where the translation quality is actually measured instead of being assumed. Second is the zero-shot transfer evaluation, done under a condition matr</w:t>
      </w:r>
      <w:r>
        <w:rPr>
          <w:rFonts w:ascii="Times New Roman" w:hAnsi="Times New Roman" w:eastAsia="Times New Roman" w:cs="Times New Roman"/>
          <w:sz w:val="24"/>
          <w:szCs w:val="24"/>
        </w:rPr>
        <w:t xml:space="preserve">ix that is fixed beforehand. Third is the attribution of each transfer failure to one cause, followed by the aggregation of all those causes.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rules apply at every step. No row is ever taken out. If a row has similarity, empty output or detected corruption those are marked as flags, on the row. That way translation failure is always. Not silently filtered out. Also every translation, training </w:t>
      </w:r>
      <w:r>
        <w:rPr>
          <w:rFonts w:ascii="Times New Roman" w:hAnsi="Times New Roman" w:eastAsia="Times New Roman" w:cs="Times New Roman"/>
          <w:sz w:val="24"/>
          <w:szCs w:val="24"/>
        </w:rPr>
        <w:t xml:space="preserve">and scoring step uses a seed.. Each step logs a hash of the configuration that produced it.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Source Data and Independence Audit</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begin with IndicFinNLP [1] which provides three tasks in Hindi, Bengali and Telugu: numeral-span annotation in text (task 1) binary sustainability classification (task 2) and a 10-class ESG-theme classification of news headlines (task 3). Row counts are </w:t>
      </w:r>
      <w:r>
        <w:rPr>
          <w:rFonts w:ascii="Times New Roman" w:hAnsi="Times New Roman" w:eastAsia="Times New Roman" w:cs="Times New Roman"/>
          <w:sz w:val="24"/>
          <w:szCs w:val="24"/>
        </w:rPr>
        <w:t xml:space="preserve">listed in Table I. The original files are kept exactly as they are with byte-for-byte integrity preserved using SHA-256 checksums. These files are read once into Parquet format for processing.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 ensure a comparison across languages we must know whether the data splits are truly independent or if they contain the same content. We test this before any translation happens, using LaBSE [22] sentence embeddings and three methods: a structural check c</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mparing row counts and class distributions; second cosine similarity between row-aligned pairs versus a shuffled index control to detect data that remains in order; and third, for 200 sampled source sentences we compute the maximum cosine similarity agains</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the entire target language split to detect parallel data even after shuffling or partial row loss. Since this last measure can be hard to interpret in a domain we calibrate it using a positive control (a split confirmed to be parallel) and negative contro</w:t>
      </w:r>
      <w:r>
        <w:rPr>
          <w:rFonts w:ascii="Times New Roman" w:hAnsi="Times New Roman" w:eastAsia="Times New Roman" w:cs="Times New Roman"/>
          <w:sz w:val="24"/>
          <w:szCs w:val="24"/>
        </w:rPr>
        <w:t xml:space="preserve">ls (data with different content but the same domain and language pair).</w:t>
      </w:r>
      <w:r>
        <w:rPr>
          <w:rFonts w:ascii="Times New Roman" w:hAnsi="Times New Roman" w:eastAsia="Times New Roman" w:cs="Times New Roman"/>
          <w:sz w:val="24"/>
          <w:szCs w:val="24"/>
        </w:rPr>
      </w:r>
      <w:r/>
    </w:p>
    <w:p>
      <w:pPr>
        <w:pStyle w:val="900"/>
        <w:pBdr/>
        <w:spacing/>
        <w:ind w:firstLine="288"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audit separates the tasks into two groups. For task 1 the splits are independently sourced. The median nearest-neighbour similarity ranges from 0.58 to 0.64 which falls within the negative-control range indicating no overlap. For tasks 2 and 3 the same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tems appear in all three languages. In task 2 between 88.5% and 93.5% of sampled sentences have a -language match at or above τ = 0.82. In task 3 a shared URL column confirms the alignment directly—532 out of 532 items match across all three languages. We </w:t>
      </w:r>
      <w:r>
        <w:rPr>
          <w:rFonts w:ascii="Times New Roman" w:hAnsi="Times New Roman" w:eastAsia="Times New Roman" w:cs="Times New Roman"/>
          <w:sz w:val="24"/>
          <w:szCs w:val="24"/>
        </w:rPr>
        <w:t xml:space="preserve">u</w:t>
      </w:r>
      <w:r>
        <w:rPr>
          <w:rFonts w:ascii="Times New Roman" w:hAnsi="Times New Roman" w:eastAsia="Times New Roman" w:cs="Times New Roman"/>
          <w:sz w:val="24"/>
          <w:szCs w:val="24"/>
        </w:rPr>
        <w:t xml:space="preserve">se this to recover item correspondence. For task 3 we join on the URL column exactly. For task 2 we use mutual nearest-neighbour matching on LaBSE embeddings above τ. Keep only matches that are consistent across all three language pairs—1,769 items in tota</w:t>
      </w:r>
      <w:r>
        <w:rPr>
          <w:rFonts w:ascii="Times New Roman" w:hAnsi="Times New Roman" w:eastAsia="Times New Roman" w:cs="Times New Roman"/>
          <w:sz w:val="24"/>
          <w:szCs w:val="24"/>
        </w:rPr>
        <w:t xml:space="preserve">l. Every aligned item has the gold label in all three languages. Any task-2 rows that don’t align remain in their split with an unaligned flag.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A9B81D6">
      <w:pPr>
        <w:pStyle w:val="900"/>
        <w:pBdr/>
        <w:spacing/>
        <w:ind w:firstLine="288" w:left="0"/>
        <w:jc w:val="both"/>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Item identifiers are based on content, than row position so a reordering of the original data cannot accidentally point an identifier to a different item. In task 1 an item is defined as a pair: (sentence span).</w:t>
      </w:r>
      <w:r>
        <w:rPr>
          <w:rFonts w:ascii="Times New Roman" w:hAnsi="Times New Roman" w:eastAsia="Times New Roman" w:cs="Times New Roman"/>
          <w:sz w:val="24"/>
          <w:szCs w:val="24"/>
          <w:highlight w:val="none"/>
        </w:rPr>
      </w:r>
      <w:r/>
    </w:p>
    <w:p>
      <w:pPr>
        <w:pStyle w:val="905"/>
        <w:numPr>
          <w:ilvl w:val="0"/>
          <w:numId w:val="7"/>
        </w:numPr>
        <w:pBdr/>
        <w:spacing/>
        <w:ind/>
        <w:jc w:val="left"/>
        <w:rPr/>
      </w:pPr>
      <w:r>
        <w:rPr>
          <w:rFonts w:ascii="Times New Roman" w:hAnsi="Times New Roman" w:eastAsia="Times New Roman" w:cs="Times New Roman"/>
          <w:sz w:val="24"/>
          <w:szCs w:val="24"/>
        </w:rPr>
        <w:t xml:space="preserve">Parallel Corpus Construction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task is made up of three blocks, one for each language. Inside each block the native language text is translated into the three languages: Hindi, Bengali, Telugu and Malayalam. This creates nine translation directions. There are twelve splits per task </w:t>
      </w:r>
      <w:r>
        <w:rPr>
          <w:rFonts w:ascii="Times New Roman" w:hAnsi="Times New Roman" w:eastAsia="Times New Roman" w:cs="Times New Roman"/>
          <w:sz w:val="24"/>
          <w:szCs w:val="24"/>
        </w:rPr>
        <w:t xml:space="preserve">and all of them use the item identifiers and gold labels (Table I). IndicFinNLP does not have any Malayalam data so Malayalam is only available, through machine translation. In each block there is one instance of Malayalam translation.</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 TRANSLATION BLOCKS AND ROW COUNTS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900"/>
        <w:gridCol w:w="1500"/>
        <w:gridCol w:w="2760"/>
        <w:gridCol w:w="1400"/>
        <w:gridCol w:w="1400"/>
        <w:gridCol w:w="1400"/>
      </w:tblGrid>
      <w:tr>
        <w:trPr>
          <w:tblHeader/>
        </w:trPr>
        <w:tc>
          <w:tcPr>
            <w:tcBorders>
              <w:bottom w:val="single" w:color="000000" w:sz="8" w:space="0"/>
            </w:tcBorders>
            <w:tcW w:w="900" w:type="dxa"/>
          </w:tcPr>
          <w:p>
            <w:pPr>
              <w:pStyle w:val="900"/>
              <w:pBdr/>
              <w:spacing w:after="20" w:before="20"/>
              <w:ind w:left="0"/>
              <w:jc w:val="left"/>
              <w:rPr/>
            </w:pPr>
            <w:r>
              <w:rPr>
                <w:rFonts w:ascii="Times New Roman" w:hAnsi="Times New Roman" w:eastAsia="Times New Roman" w:cs="Times New Roman"/>
                <w:b/>
                <w:sz w:val="20"/>
                <w:szCs w:val="20"/>
              </w:rPr>
              <w:t xml:space="preserve">Block</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Native source</w:t>
            </w:r>
            <w:r/>
          </w:p>
        </w:tc>
        <w:tc>
          <w:tcPr>
            <w:tcBorders>
              <w:bottom w:val="single" w:color="000000" w:sz="8" w:space="0"/>
            </w:tcBorders>
            <w:tcW w:w="2760" w:type="dxa"/>
          </w:tcPr>
          <w:p>
            <w:pPr>
              <w:pStyle w:val="900"/>
              <w:pBdr/>
              <w:spacing w:after="20" w:before="20"/>
              <w:ind w:left="0"/>
              <w:jc w:val="center"/>
              <w:rPr/>
            </w:pPr>
            <w:r>
              <w:rPr>
                <w:rFonts w:ascii="Times New Roman" w:hAnsi="Times New Roman" w:eastAsia="Times New Roman" w:cs="Times New Roman"/>
                <w:b/>
                <w:sz w:val="20"/>
                <w:szCs w:val="20"/>
              </w:rPr>
              <w:t xml:space="preserve">MT targets</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14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H</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Bengali,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10,640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2,238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B</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Malayalam, Telugu</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6,130</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2,228</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2760" w:type="dxa"/>
          </w:tcPr>
          <w:p>
            <w:pPr>
              <w:pStyle w:val="900"/>
              <w:pBdr/>
              <w:spacing w:after="20" w:before="20"/>
              <w:ind w:left="0"/>
              <w:jc w:val="center"/>
              <w:rPr/>
            </w:pPr>
            <w:r>
              <w:rPr>
                <w:rFonts w:ascii="Times New Roman" w:hAnsi="Times New Roman" w:eastAsia="Times New Roman" w:cs="Times New Roman"/>
                <w:sz w:val="20"/>
                <w:szCs w:val="20"/>
              </w:rPr>
              <w:t xml:space="preserve">Hindi, Bengali, Malayalam</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6,016</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2,072</w:t>
            </w:r>
            <w:r/>
          </w:p>
        </w:tc>
        <w:tc>
          <w:tcPr>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532</w:t>
            </w:r>
            <w:r/>
          </w:p>
        </w:tc>
      </w:tr>
      <w:tr>
        <w:trPr/>
        <w:tc>
          <w:tcPr>
            <w:tcBorders>
              <w:top w:val="single" w:color="000000" w:sz="8" w:space="0"/>
            </w:tcBorders>
            <w:tcW w:w="900" w:type="dxa"/>
          </w:tcPr>
          <w:p>
            <w:pPr>
              <w:pStyle w:val="900"/>
              <w:pBdr/>
              <w:spacing w:after="20" w:before="20"/>
              <w:ind w:left="0"/>
              <w:jc w:val="left"/>
              <w:rPr/>
            </w:pPr>
            <w:r>
              <w:rPr>
                <w:rFonts w:ascii="Times New Roman" w:hAnsi="Times New Roman" w:eastAsia="Times New Roman" w:cs="Times New Roman"/>
                <w:sz w:val="20"/>
                <w:szCs w:val="20"/>
              </w:rPr>
              <w:t xml:space="preserve">MT rows</w:t>
            </w:r>
            <w:r/>
          </w:p>
        </w:tc>
        <w:tc>
          <w:tcPr>
            <w:tcBorders>
              <w:top w:val="single" w:color="000000" w:sz="8" w:space="0"/>
            </w:tcBorders>
            <w:tcW w:w="150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2760" w:type="dxa"/>
          </w:tcPr>
          <w:p>
            <w:pPr>
              <w:pStyle w:val="900"/>
              <w:pBdr/>
              <w:spacing w:after="20" w:before="20"/>
              <w:ind w:left="0"/>
              <w:jc w:val="center"/>
              <w:rPr/>
            </w:pPr>
            <w:r>
              <w:rPr>
                <w:rFonts w:ascii="Times New Roman" w:hAnsi="Times New Roman" w:eastAsia="Times New Roman" w:cs="Times New Roman"/>
                <w:sz w:val="20"/>
                <w:szCs w:val="20"/>
              </w:rPr>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op w:val="single" w:color="000000" w:sz="8" w:space="0"/>
            </w:tcBorders>
            <w:tcW w:w="14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ranslation uses IndicTrans2 [21] (the indic 1B model) directly between Indic languages, with no English pivot. A pivot would add an error source and make drift impossible to attribute. One decoding configuration, beam search with five beams, a length of 25</w:t>
      </w:r>
      <w:r>
        <w:rPr>
          <w:rFonts w:ascii="Times New Roman" w:hAnsi="Times New Roman" w:eastAsia="Times New Roman" w:cs="Times New Roman"/>
          <w:sz w:val="24"/>
          <w:szCs w:val="24"/>
        </w:rPr>
        <w:t xml:space="preserve">6</w:t>
      </w:r>
      <w:r>
        <w:rPr>
          <w:rFonts w:ascii="Times New Roman" w:hAnsi="Times New Roman" w:eastAsia="Times New Roman" w:cs="Times New Roman"/>
          <w:sz w:val="24"/>
          <w:szCs w:val="24"/>
        </w:rPr>
        <w:t xml:space="preserve"> and no sampling is applied unchanged to all nine directions so their quality figures are comparable. We chose the 1B model over its 320M distilled variant after measuring output corruption on a 180-row task-1 sample. The smaller model was eight times fast</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 Corrupted 10.0% of rows against 4.4%. Identical source sentences are translated once. The output shared. In task 1 where a sentence containing three numerals forms three items this reduces 68,358 translations to 40,401. Ensures each sentence has exactly</w:t>
      </w:r>
      <w:r>
        <w:rPr>
          <w:rFonts w:ascii="Times New Roman" w:hAnsi="Times New Roman" w:eastAsia="Times New Roman" w:cs="Times New Roman"/>
          <w:sz w:val="24"/>
          <w:szCs w:val="24"/>
        </w:rPr>
        <w:t xml:space="preserve"> one translation. The corpus holds 92,760 machine-translated rows in total.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Liberation Sans" w:hAnsi="Liberation Sans" w:eastAsia="Liberation Sans" w:cs="Liberation Sans"/>
          <w:color w:val="2b2d38"/>
          <w:sz w:val="23"/>
          <w:highlight w:val="white"/>
        </w:rPr>
        <w:t xml:space="preserve">T</w:t>
      </w:r>
      <w:r>
        <w:rPr>
          <w:rFonts w:ascii="Liberation Sans" w:hAnsi="Liberation Sans" w:eastAsia="Liberation Sans" w:cs="Liberation Sans"/>
          <w:color w:val="2b2d38"/>
          <w:sz w:val="23"/>
          <w:highlight w:val="white"/>
        </w:rPr>
        <w:t xml:space="preserve">ask 1s annotations are character offsets into the source string, which cannot survive a change of length and script. We re-locate the annotated numeral in each translation by value than by digit string so Bengali ২৪, ASCII 24 and a grouped 25,000 are all m</w:t>
      </w:r>
      <w:r>
        <w:rPr>
          <w:rFonts w:ascii="Liberation Sans" w:hAnsi="Liberation Sans" w:eastAsia="Liberation Sans" w:cs="Liberation Sans"/>
          <w:color w:val="2b2d38"/>
          <w:sz w:val="23"/>
          <w:highlight w:val="white"/>
        </w:rPr>
        <w:t xml:space="preserve">atched and record per row whether the span was recovered. A numeral rewritten as a quantity (for example 100 million, as 10 crore) is recorded separately from one that was lost.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Translation Quality Gates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Three automated checks are applied to every translated row. Each of these checks finds failures that the other checks do not detect.</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umerals, currency symbols, percentages and lakh/crore scale terms are compared by value across digit systems. The scale word is applied on both sides so that equivalent quantities match. A comma is treated as a thousands separator only when three digits fo</w:t>
      </w:r>
      <w:r>
        <w:rPr>
          <w:rFonts w:ascii="Times New Roman" w:hAnsi="Times New Roman" w:eastAsia="Times New Roman" w:cs="Times New Roman"/>
          <w:sz w:val="24"/>
          <w:szCs w:val="24"/>
        </w:rPr>
        <w:t xml:space="preserve">llow it. Rows that have already been flagged as corrupted are excluded from the preservation rate. This ensures that their loss is not blamed on handling. Any direction that shows than 95% preservation is flagged.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locking checks require every block to join four ways on the item identifier. Every translated row must carry its sources label. The native text must be free of encoding damage. Any failure in these blocking checks stops the pipeline. Non-blocking checks lo</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k for script leakage, which means characters from another script block appearing except, for the shared danda. They also detect two corruption modes that we saw in the IndicTrans2 output: entity placeholders and nukta characters that appear as literal Unic</w:t>
      </w:r>
      <w:r>
        <w:rPr>
          <w:rFonts w:ascii="Times New Roman" w:hAnsi="Times New Roman" w:eastAsia="Times New Roman" w:cs="Times New Roman"/>
          <w:sz w:val="24"/>
          <w:szCs w:val="24"/>
        </w:rPr>
        <w:t xml:space="preserve">ode escapes. Additionally they flag suspected truncation judged when a direction falls to half of its median length ratio. A leak is counted when the source text is clean.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Compared by cosine similarity over all 92,760 pairs with no sampling:</w:t>
      </w:r>
      <w:r>
        <w:rPr>
          <w:rFonts w:ascii="Times New Roman" w:hAnsi="Times New Roman" w:eastAsia="Times New Roman" w:cs="Times New Roman"/>
          <w:sz w:val="24"/>
          <w:szCs w:val="24"/>
        </w:rPr>
      </w:r>
      <w:r/>
    </w:p>
    <w:p>
      <w:pPr>
        <w:pStyle w:val="900"/>
        <w:pBdr/>
        <w:tabs>
          <w:tab w:val="center" w:leader="none" w:pos="4680"/>
          <w:tab w:val="right" w:leader="none" w:pos="9360"/>
        </w:tabs>
        <w:spacing w:after="60" w:before="60"/>
        <w:ind w:left="0"/>
        <w:rPr/>
      </w:pPr>
      <w:r>
        <w:tab/>
      </w:r>
      <m:oMath>
        <m:r>
          <w:rPr>
            <w:rFonts w:ascii="Times New Roman" w:hAnsi="Times New Roman" w:eastAsia="Times New Roman" w:cs="Times New Roman"/>
          </w:rPr>
          <m:rPr>
            <m:sty m:val="p"/>
          </m:rPr>
          <m:t>cos</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 </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r>
          <w:rPr>
            <w:rFonts w:ascii="Times New Roman" w:hAnsi="Times New Roman" w:eastAsia="Times New Roman" w:cs="Times New Roman"/>
          </w:rPr>
          <m:rPr/>
          <m:t> = </m:t>
        </m:r>
        <m:f>
          <m:fPr>
            <m:ctrlPr/>
          </m:fPr>
          <m:num>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r>
              <w:rPr>
                <w:rFonts w:ascii="Times New Roman" w:hAnsi="Times New Roman" w:eastAsia="Times New Roman" w:cs="Times New Roman"/>
              </w:rPr>
              <m:rPr/>
              <m:t>⋅</m:t>
            </m:r>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num>
          <m:den>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s</m:t>
                    </m:r>
                  </m:sub>
                </m:sSub>
              </m:e>
            </m:d>
            <m:d>
              <m:dPr>
                <m:begChr m:val="‖"/>
                <m:endChr m:val="‖"/>
                <m:ctrlPr/>
              </m:dPr>
              <m:e>
                <m:sSub>
                  <m:sSubPr>
                    <m:ctrlPr/>
                  </m:sSubPr>
                  <m:e>
                    <m:r>
                      <w:rPr>
                        <w:rFonts w:ascii="Times New Roman" w:hAnsi="Times New Roman" w:eastAsia="Times New Roman" w:cs="Times New Roman"/>
                      </w:rPr>
                      <m:rPr/>
                      <m:t>e</m:t>
                    </m:r>
                  </m:e>
                  <m:sub>
                    <m:r>
                      <w:rPr>
                        <w:rFonts w:ascii="Times New Roman" w:hAnsi="Times New Roman" w:eastAsia="Times New Roman" w:cs="Times New Roman"/>
                      </w:rPr>
                      <m:rPr/>
                      <m:t>t</m:t>
                    </m:r>
                  </m:sub>
                </m:sSub>
              </m:e>
            </m:d>
          </m:den>
        </m:f>
      </m:oMath>
      <w:r>
        <w:rPr>
          <w:rFonts w:ascii="Times New Roman" w:hAnsi="Times New Roman" w:eastAsia="Times New Roman" w:cs="Times New Roman"/>
          <w:sz w:val="24"/>
        </w:rPr>
        <w:tab/>
        <w:t xml:space="preserve">(1)</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here e's the LaBSE embedding of text x. Rows whose similarity falls below τ are flagged translation_drift. For tasks 2 and 3 the native split in the target language is a translation of the same item. This allows τ to be calibrated: a human translation is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known‑good pair so τ should accept all of them. Τ = 0.82 accepts every pair on task 2 but rejects 23.4% on task 3 whose headlines are short and score lower for that reason alone. Τ is therefore set per task: 0.82 for task 2 (confirmed) 0.73 for task 3 (the</w:t>
      </w:r>
      <w:r>
        <w:rPr>
          <w:rFonts w:ascii="Times New Roman" w:hAnsi="Times New Roman" w:eastAsia="Times New Roman" w:cs="Times New Roman"/>
          <w:sz w:val="24"/>
          <w:szCs w:val="24"/>
        </w:rPr>
        <w:t xml:space="preserve"> value that accepts 95% of pairs) and 0.82, for task 1 inherited rather than calibrated because no human reference exists for it. Malayalam targets have no reference either.</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irst when a task completes all its checks the tasks twelve splits are locked into a read- release. This release contains a SHA-256 hash, for each file and a manifest that lists the translation model decoding configuration, similarity model and τ. The relea</w:t>
      </w:r>
      <w:r>
        <w:rPr>
          <w:rFonts w:ascii="Times New Roman" w:hAnsi="Times New Roman" w:eastAsia="Times New Roman" w:cs="Times New Roman"/>
          <w:sz w:val="24"/>
          <w:szCs w:val="24"/>
        </w:rPr>
        <w:t xml:space="preserve">se datasheet is not typed by hand; instead the release datasheet is created automatically from these artefacts.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Evaluation Conditions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is tested on tasks 2 and 3 which're the two classification tasks. All conditions are fixed ahead of time in one condition matrix. Each task contains 21 items: nine transfer cells, one for each source–target language pair checked against native targ</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t text when available; the same nine cells checked against machine‑translated target text from the source block;. Three translationese conditions that keep the language the same but change the origin (for Hindi: native translated from Bengali translated fr</w:t>
      </w:r>
      <w:r>
        <w:rPr>
          <w:rFonts w:ascii="Times New Roman" w:hAnsi="Times New Roman" w:eastAsia="Times New Roman" w:cs="Times New Roman"/>
          <w:sz w:val="24"/>
          <w:szCs w:val="24"/>
        </w:rPr>
        <w:t xml:space="preserve">om Telugu). The nine transfer cells are grouped into four quadrants: Indo‑Aryan to Indo‑Aryan, Indo‑Aryan to Dravidian, Dravidian to Indo‑Aryan and Dravidian to Dravidian. </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ecause tasks 2 and 3 use the items in every language each transfer cell is scored on the same underlying content in the source and the target. Evaluation uses half of the items, chosen by a seeded hash of the item ID so every language agrees on the subset </w:t>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ithout coordination. The source model is trained on a seeded stratified fold of its native split so most evaluated items are target‑language versions of sentences seen during training in the source language. This design is intentional: fixing the content o</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 both sides of the gap lets us measure the cost of changing the language while keeping sentence difficulty constant. It is not a test of generalisation to content. A validator checks that no split is both a training source and an evaluation target within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condition. Evaluation prefers native target text so that a failure reflects transfer than translation. For Malayalam evaluation must use machine translation; the data come from a block, than the one used for training and the provenance is recorded with eac</w:t>
      </w:r>
      <w:r>
        <w:rPr>
          <w:rFonts w:ascii="Times New Roman" w:hAnsi="Times New Roman" w:eastAsia="Times New Roman" w:cs="Times New Roman"/>
          <w:sz w:val="24"/>
          <w:szCs w:val="24"/>
        </w:rPr>
        <w:t xml:space="preserve">h result.</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Fine-Tuning and Zero-Shot Evaluation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compare two encoders: IndicBERT [7] a model that was pretrained on twelve Indian languages and multilingual BERT also known as mBERT (cased base) [12]. We had also planned to use XLM‑R base [13] as an encoder but XLM‑R base requires a fixed memory cost o</w:t>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 4.14 GiB for weights, gradients and optimiser state when fine‑tuned with mixed‑precision AdamW. This memory requirement exceeds the 3.68 GiB that our 4 GB GPU can provide at any batch size. Therefore we decided to exclude XLM‑R base of altering the traini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g protocol. Each of the encoders is used in its pretrained form. Is equipped with a single linear classification head that operates on the [CLS] representation. The models are trained using cross‑entropy loss as shown in Table II. Training data consists of</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native human‑written text. This ensures that no transfer measurement is affected by translations that we may have produced ourselves. For every configuration we run the experiment with three random seeds. The results are reported as mean ± deviation. All h</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perparameters are identical for both encoders except for one detail. In the case of mBERT, on task 2 we use micro‑batches of eight. Perform two‑step gradient accumulation. This approach is forced by GPU memory limits. The effective batch size remains at si</w:t>
      </w:r>
      <w:r>
        <w:rPr>
          <w:rFonts w:ascii="Times New Roman" w:hAnsi="Times New Roman" w:eastAsia="Times New Roman" w:cs="Times New Roman"/>
          <w:sz w:val="24"/>
          <w:szCs w:val="24"/>
        </w:rPr>
        <w:t xml:space="preserve">xteen. The gradient updates stay unchanged.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 FINE-TUNING CONFIGURATION</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960"/>
        <w:gridCol w:w="2700"/>
        <w:gridCol w:w="2700"/>
      </w:tblGrid>
      <w:tr>
        <w:trPr>
          <w:tblHeader/>
        </w:trPr>
        <w:tc>
          <w:tcPr>
            <w:tcBorders>
              <w:bottom w:val="single" w:color="000000" w:sz="8" w:space="0"/>
            </w:tcBorders>
            <w:tcW w:w="3960" w:type="dxa"/>
          </w:tcPr>
          <w:p>
            <w:pPr>
              <w:pStyle w:val="900"/>
              <w:pBdr/>
              <w:spacing w:after="20" w:before="20"/>
              <w:ind w:left="0"/>
              <w:jc w:val="left"/>
              <w:rPr/>
            </w:pPr>
            <w:r>
              <w:rPr>
                <w:rFonts w:ascii="Times New Roman" w:hAnsi="Times New Roman" w:eastAsia="Times New Roman" w:cs="Times New Roman"/>
                <w:b/>
                <w:sz w:val="20"/>
                <w:szCs w:val="20"/>
              </w:rPr>
              <w:t xml:space="preserve">Setting</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7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Maximum sequence length</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192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64</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Batch × accumulation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 (mBERT 8 × 2)</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16 × 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Optimiser</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AdamW</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Learning rate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 × 10⁻⁵</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 × 10⁻⁵</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Weight decay</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0.01</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Warm-up</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10% of steps</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Max epochs / early-stopping patience</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20 / 5</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40 / 8</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Dev / test fraction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0.10 / 0.10</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0.15 / 0.15</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Precision</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fp16 mixed</w:t>
            </w:r>
            <w:r/>
          </w:p>
        </w:tc>
      </w:tr>
      <w:tr>
        <w:trPr/>
        <w:tc>
          <w:tcPr>
            <w:tcBorders/>
            <w:tcW w:w="3960" w:type="dxa"/>
          </w:tcPr>
          <w:p>
            <w:pPr>
              <w:pStyle w:val="900"/>
              <w:pBdr/>
              <w:spacing w:after="20" w:before="20"/>
              <w:ind w:left="0"/>
              <w:jc w:val="left"/>
              <w:rPr/>
            </w:pPr>
            <w:r>
              <w:rPr>
                <w:rFonts w:ascii="Times New Roman" w:hAnsi="Times New Roman" w:eastAsia="Times New Roman" w:cs="Times New Roman"/>
                <w:sz w:val="20"/>
                <w:szCs w:val="20"/>
              </w:rPr>
              <w:t xml:space="preserve">Seeds</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c>
          <w:tcPr>
            <w:tcBorders/>
            <w:tcW w:w="2700" w:type="dxa"/>
          </w:tcPr>
          <w:p>
            <w:pPr>
              <w:pStyle w:val="900"/>
              <w:pBdr/>
              <w:spacing w:after="20" w:before="20"/>
              <w:ind w:left="0"/>
              <w:jc w:val="center"/>
              <w:rPr/>
            </w:pPr>
            <w:r>
              <w:rPr>
                <w:rFonts w:ascii="Times New Roman" w:hAnsi="Times New Roman" w:eastAsia="Times New Roman" w:cs="Times New Roman"/>
                <w:sz w:val="20"/>
                <w:szCs w:val="20"/>
              </w:rPr>
              <w:t xml:space="preserve">3</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source model is first checked against IndicFinNLPs published in‑language macro‑F1 with a tolerance of ±0.02 and any shortfall must be diagnosed before transfer results are read. This ensures that a transfer gap cannot be an artefact of a trained source</w:t>
      </w:r>
      <w:r>
        <w:rPr>
          <w:rFonts w:ascii="Times New Roman" w:hAnsi="Times New Roman" w:eastAsia="Times New Roman" w:cs="Times New Roman"/>
          <w:sz w:val="24"/>
          <w:szCs w:val="24"/>
        </w:rPr>
        <w:t xml:space="preserve"> model.</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valuation is zero‑shot. Checkpoints are loaded read‑only. The inference path asserts that no optimiser exists and no gradient step is taken. Every prediction is logged per instance: item, gold label predicted label and class probabilities. Macro‑F1 is the </w:t>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etric with accuracy and per‑class F1 alongside and 95 % confidence intervals come from a 1,000‑sample bootstrap over items computed per seed. Following XTREME [14] the transfer gap from source s to target t is the source’s in‑language score minus the targe</w:t>
      </w:r>
      <w:r>
        <w:rPr>
          <w:rFonts w:ascii="Times New Roman" w:hAnsi="Times New Roman" w:eastAsia="Times New Roman" w:cs="Times New Roman"/>
          <w:sz w:val="24"/>
          <w:szCs w:val="24"/>
        </w:rPr>
        <w:t xml:space="preserve">t score</w:t>
      </w:r>
      <w:r>
        <w:rPr>
          <w:rFonts w:ascii="Times New Roman" w:hAnsi="Times New Roman" w:eastAsia="Times New Roman" w:cs="Times New Roman"/>
          <w:sz w:val="24"/>
          <w:szCs w:val="24"/>
        </w:rPr>
        <w:t xml:space="preserve">,</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Δ</m:t>
            </m:r>
          </m:e>
          <m:sub>
            <m:r>
              <w:rPr>
                <w:rFonts w:ascii="Times New Roman" w:hAnsi="Times New Roman" w:eastAsia="Times New Roman" w:cs="Times New Roman"/>
              </w:rPr>
              <m:rPr/>
              <m:t>s→t</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s</m:t>
            </m:r>
          </m:sub>
        </m:sSub>
        <m:r>
          <w:rPr>
            <w:rFonts w:ascii="Times New Roman" w:hAnsi="Times New Roman" w:eastAsia="Times New Roman" w:cs="Times New Roman"/>
          </w:rPr>
          <m:rPr/>
          <m:t> − </m:t>
        </m:r>
        <m:sSub>
          <m:sSubPr>
            <m:ctrlPr/>
          </m:sSubPr>
          <m:e>
            <m:r>
              <w:rPr>
                <w:rFonts w:ascii="Times New Roman" w:hAnsi="Times New Roman" w:eastAsia="Times New Roman" w:cs="Times New Roman"/>
              </w:rPr>
              <m:rPr>
                <m:sty m:val="p"/>
              </m:rPr>
              <m:t>F1</m:t>
            </m:r>
          </m:e>
          <m:sub>
            <m:r>
              <w:rPr>
                <w:rFonts w:ascii="Times New Roman" w:hAnsi="Times New Roman" w:eastAsia="Times New Roman" w:cs="Times New Roman"/>
              </w:rPr>
              <m:rPr/>
              <m:t>t</m:t>
            </m:r>
          </m:sub>
        </m:sSub>
      </m:oMath>
      <w:r>
        <w:rPr>
          <w:rFonts w:ascii="Times New Roman" w:hAnsi="Times New Roman" w:eastAsia="Times New Roman" w:cs="Times New Roman"/>
          <w:sz w:val="24"/>
        </w:rPr>
        <w:tab/>
        <w:t xml:space="preserve">(2)</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omputed on the underlying items wherever alignment allows so each source model is measured against its own ceiling on identical content. Because those items are largely the source model’s training text the in‑language score is a training‑text ceiling than </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held‑out estimate; held‑out in‑language performance is reported separately as the baseline. A gap smaller than its seed standard deviation is not reported as a finding. With 21 conditions and three seeds there are 63 results per encoder and task 126 resul</w:t>
      </w:r>
      <w:r>
        <w:rPr>
          <w:rFonts w:ascii="Times New Roman" w:hAnsi="Times New Roman" w:eastAsia="Times New Roman" w:cs="Times New Roman"/>
          <w:sz w:val="24"/>
          <w:szCs w:val="24"/>
        </w:rPr>
        <w:t xml:space="preserve">ts per task. Comparisons, between source languages leave out seeds whose source model never moved from its initialisation: such source model scores badly in every language so its near‑zero gap would rank it as the best source. </w:t>
      </w:r>
      <w:r>
        <w:rPr>
          <w:rFonts w:ascii="Times New Roman" w:hAnsi="Times New Roman" w:eastAsia="Times New Roman" w:cs="Times New Roman"/>
          <w:sz w:val="24"/>
          <w:szCs w:val="24"/>
        </w:rPr>
        <w:t xml:space="preserve">These seeds are named in the results and remain in every other figure.</w:t>
      </w:r>
      <w:r/>
    </w:p>
    <w:p>
      <w:pPr>
        <w:pStyle w:val="905"/>
        <w:numPr>
          <w:ilvl w:val="0"/>
          <w:numId w:val="7"/>
        </w:numPr>
        <w:pBdr/>
        <w:spacing/>
        <w:ind/>
        <w:jc w:val="left"/>
        <w:rPr/>
      </w:pPr>
      <w:r>
        <w:rPr>
          <w:rFonts w:ascii="Times New Roman" w:hAnsi="Times New Roman" w:eastAsia="Times New Roman" w:cs="Times New Roman"/>
          <w:sz w:val="24"/>
          <w:szCs w:val="24"/>
        </w:rPr>
        <w:t xml:space="preserve">Transfer-Failure Diagnostics</w:t>
      </w:r>
      <w:r/>
    </w:p>
    <w:p>
      <w:pPr>
        <w:pStyle w:val="900"/>
        <w:pBdr/>
        <w:spacing/>
        <w:ind w:firstLine="288" w:left="0"/>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s</m:t>
            </m:r>
          </m:sub>
        </m:sSub>
        <m:r>
          <w:rPr>
            <w:rFonts w:ascii="Times New Roman" w:hAnsi="Times New Roman" w:eastAsia="Times New Roman" w:cs="Times New Roman"/>
          </w:rPr>
          <m:rPr/>
          <m:t> = </m:t>
        </m:r>
        <m:r>
          <w:rPr>
            <w:rFonts w:ascii="Times New Roman" w:hAnsi="Times New Roman" w:eastAsia="Times New Roman" w:cs="Times New Roman"/>
          </w:rPr>
          <m:rPr/>
          <m:t>y</m:t>
        </m:r>
        <m:r>
          <w:rPr>
            <w:rFonts w:ascii="Times New Roman" w:hAnsi="Times New Roman" w:eastAsia="Times New Roman" w:cs="Times New Roman"/>
          </w:rPr>
          <m:rPr/>
          <m:t>  ∧  </m:t>
        </m:r>
        <m:sSub>
          <m:sSubPr>
            <m:ctrlPr/>
          </m:sSubPr>
          <m:e>
            <m:r>
              <w:rPr>
                <w:rFonts w:ascii="Times New Roman" w:hAnsi="Times New Roman" w:eastAsia="Times New Roman" w:cs="Times New Roman"/>
              </w:rPr>
              <m:rPr/>
              <m:t>ŷ</m:t>
            </m:r>
          </m:e>
          <m:sub>
            <m:r>
              <w:rPr>
                <w:rFonts w:ascii="Times New Roman" w:hAnsi="Times New Roman" w:eastAsia="Times New Roman" w:cs="Times New Roman"/>
              </w:rPr>
              <m:rPr/>
              <m:t>t</m:t>
            </m:r>
          </m:sub>
        </m:sSub>
        <m:r>
          <w:rPr>
            <w:rFonts w:ascii="Times New Roman" w:hAnsi="Times New Roman" w:eastAsia="Times New Roman" w:cs="Times New Roman"/>
          </w:rPr>
          <m:rPr/>
          <m:t> ≠ </m:t>
        </m:r>
        <m:r>
          <w:rPr>
            <w:rFonts w:ascii="Times New Roman" w:hAnsi="Times New Roman" w:eastAsia="Times New Roman" w:cs="Times New Roman"/>
          </w:rPr>
          <m:rPr/>
          <m:t>y</m:t>
        </m:r>
      </m:oMath>
      <w:r>
        <w:rPr>
          <w:rFonts w:ascii="Times New Roman" w:hAnsi="Times New Roman" w:eastAsia="Times New Roman" w:cs="Times New Roman"/>
          <w:sz w:val="24"/>
        </w:rPr>
        <w:tab/>
        <w:t xml:space="preserve">(3)</w:t>
      </w:r>
      <w:r/>
    </w:p>
    <w:p w14:paraId="1873E0D9">
      <w:pPr>
        <w:pStyle w:val="900"/>
        <w:pBdr/>
        <w:spacing/>
        <w:ind w:firstLine="288" w:left="0"/>
        <w:jc w:val="both"/>
        <w:rPr/>
      </w:pPr>
      <w:r>
        <w:rPr>
          <w:rFonts w:ascii="Times New Roman" w:hAnsi="Times New Roman" w:eastAsia="Times New Roman" w:cs="Times New Roman"/>
          <w:sz w:val="24"/>
          <w:szCs w:val="24"/>
        </w:rPr>
        <w:t xml:space="preserve">Predictions are joined on (item, seed). A source prediction is never paired with a target prediction from a different seed. Since the model got this item right in the source language we can rule out lack of task ability or item difficulty by design.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failure gets one cause label from an ordered router along with a full audit trail showing every module that triggered. Stage 1 is a gate: if the LaBSE similarity between the source and target texts is below τ the failure is labeled translation_drift an</w:t>
      </w:r>
      <w:r>
        <w:rPr>
          <w:rFonts w:ascii="Times New Roman" w:hAnsi="Times New Roman" w:eastAsia="Times New Roman" w:cs="Times New Roman"/>
          <w:sz w:val="24"/>
          <w:szCs w:val="24"/>
        </w:rPr>
        <w:t xml:space="preserve">d stops there. This order matters a lot. If the linguistic modules ran first noise, from our translations might be wrongly blamed on tokenization or morphology. The gate uses the corpus similarity module as before unchanged.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2 </w:t>
      </w:r>
      <w:r>
        <w:rPr>
          <w:rFonts w:ascii="Times New Roman" w:hAnsi="Times New Roman" w:eastAsia="Times New Roman" w:cs="Times New Roman"/>
          <w:i w:val="0"/>
          <w:iCs w:val="0"/>
          <w:sz w:val="24"/>
          <w:szCs w:val="24"/>
        </w:rPr>
        <w:t xml:space="preserve">says the remaining failures come from the way the target text is written. Tokenizer fragmentation is checked with the encoders tokenizer [28],</w:t>
      </w:r>
      <w:r>
        <w:rPr>
          <w:rFonts w:ascii="Times New Roman" w:hAnsi="Times New Roman" w:eastAsia="Times New Roman" w:cs="Times New Roman"/>
          <w:i w:val="0"/>
          <w:iCs w:val="0"/>
          <w:sz w:val="24"/>
          <w:szCs w:val="24"/>
        </w:rPr>
      </w:r>
      <w:r/>
    </w:p>
    <w:p>
      <w:pPr>
        <w:pStyle w:val="900"/>
        <w:pBdr/>
        <w:tabs>
          <w:tab w:val="center" w:leader="none" w:pos="4680"/>
          <w:tab w:val="right" w:leader="none" w:pos="9360"/>
        </w:tabs>
        <w:spacing w:after="60" w:before="60"/>
        <w:ind w:left="0"/>
        <w:rPr/>
      </w:pPr>
      <w:r>
        <w:tab/>
      </w:r>
      <m:oMath>
        <m:sSub>
          <m:sSubPr>
            <m:ctrlPr/>
          </m:sSubPr>
          <m:e>
            <m:r>
              <w:rPr>
                <w:rFonts w:ascii="Times New Roman" w:hAnsi="Times New Roman" w:eastAsia="Times New Roman" w:cs="Times New Roman"/>
              </w:rPr>
              <m:rPr/>
              <m:t>R</m:t>
            </m:r>
          </m:e>
          <m:sub>
            <m:r>
              <w:rPr>
                <w:rFonts w:ascii="Times New Roman" w:hAnsi="Times New Roman" w:eastAsia="Times New Roman" w:cs="Times New Roman"/>
              </w:rPr>
              <m:rPr>
                <m:sty m:val="p"/>
              </m:rPr>
              <m:t>frag</m:t>
            </m:r>
          </m:sub>
        </m:sSub>
        <m:r>
          <w:rPr>
            <w:rFonts w:ascii="Times New Roman" w:hAnsi="Times New Roman" w:eastAsia="Times New Roman" w:cs="Times New Roman"/>
          </w:rPr>
          <m:rPr/>
          <m:t> = </m:t>
        </m:r>
        <m:f>
          <m:fPr>
            <m:ctrlPr/>
          </m:fPr>
          <m:num>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t</m:t>
                    </m:r>
                  </m:sub>
                </m:sSub>
                <m:r>
                  <w:rPr>
                    <w:rFonts w:ascii="Times New Roman" w:hAnsi="Times New Roman" w:eastAsia="Times New Roman" w:cs="Times New Roman"/>
                  </w:rPr>
                  <m:rPr/>
                  <m:t>)</m:t>
                </m:r>
              </m:e>
            </m:d>
          </m:num>
          <m:den>
            <m:d>
              <m:dPr>
                <m:begChr m:val="|"/>
                <m:endChr m:val="|"/>
                <m:ctrlPr/>
              </m:dPr>
              <m:e>
                <m:r>
                  <w:rPr>
                    <w:rFonts w:ascii="Times New Roman" w:hAnsi="Times New Roman" w:eastAsia="Times New Roman" w:cs="Times New Roman"/>
                  </w:rPr>
                  <m:rPr>
                    <m:sty m:val="p"/>
                  </m:rPr>
                  <m:t>tok</m:t>
                </m:r>
                <m:r>
                  <w:rPr>
                    <w:rFonts w:ascii="Times New Roman" w:hAnsi="Times New Roman" w:eastAsia="Times New Roman" w:cs="Times New Roman"/>
                  </w:rPr>
                  <m:rPr/>
                  <m:t>(</m:t>
                </m:r>
                <m:sSub>
                  <m:sSubPr>
                    <m:ctrlPr/>
                  </m:sSubPr>
                  <m:e>
                    <m:r>
                      <w:rPr>
                        <w:rFonts w:ascii="Times New Roman" w:hAnsi="Times New Roman" w:eastAsia="Times New Roman" w:cs="Times New Roman"/>
                      </w:rPr>
                      <m:rPr/>
                      <m:t>x</m:t>
                    </m:r>
                  </m:e>
                  <m:sub>
                    <m:r>
                      <w:rPr>
                        <w:rFonts w:ascii="Times New Roman" w:hAnsi="Times New Roman" w:eastAsia="Times New Roman" w:cs="Times New Roman"/>
                      </w:rPr>
                      <m:rPr/>
                      <m:t>s</m:t>
                    </m:r>
                  </m:sub>
                </m:sSub>
                <m:r>
                  <w:rPr>
                    <w:rFonts w:ascii="Times New Roman" w:hAnsi="Times New Roman" w:eastAsia="Times New Roman" w:cs="Times New Roman"/>
                  </w:rPr>
                  <m:rPr/>
                  <m:t>)</m:t>
                </m:r>
              </m:e>
            </m:d>
          </m:den>
        </m:f>
      </m:oMath>
      <w:r>
        <w:rPr>
          <w:rFonts w:ascii="Times New Roman" w:hAnsi="Times New Roman" w:eastAsia="Times New Roman" w:cs="Times New Roman"/>
          <w:sz w:val="24"/>
        </w:rPr>
        <w:tab/>
        <w:t xml:space="preserve">(4)</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nd the module fires when Rfrag is 2.0 or more. Morphological masking fires when a financial word from an 18‑concept ESG list (made in Hindi and translated with the corpus translation model) appears in the target inside a changed form with its root hidden b</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bound morphology. Stems come from the Indic NLP Librarys analyser falling back to rule‑based suffix cutting when there is no analyser; Universal Dependencies does not have a Malayalam treebank. A stem matches only if it is exact with its last codepoint. W</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th one added vowel sign. Terminology gap fires when Integrated Gradients scores, calculated against a zero‑embedding baseline differ between the source item and its target counterpart. The threshold is set for each task and encoder at the percentile of div</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rgence on pairs that the model got right in both languages and a score whose completeness error is more than 5% is marked as unconverged and never fires. A planned orthographic and numeral‑mismatch module was dropped after an audit showed that items whose </w:t>
      </w:r>
      <w:r>
        <w:rPr>
          <w:rFonts w:ascii="Times New Roman" w:hAnsi="Times New Roman" w:eastAsia="Times New Roman" w:cs="Times New Roman"/>
          <w:sz w:val="24"/>
          <w:szCs w:val="24"/>
        </w:rPr>
        <w:t xml:space="preserve">digit system is different between machine‑translated text fail at or, below the base rate.</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3 </w:t>
      </w:r>
      <w:r>
        <w:rPr>
          <w:rFonts w:ascii="Times New Roman" w:hAnsi="Times New Roman" w:eastAsia="Times New Roman" w:cs="Times New Roman"/>
          <w:i w:val="0"/>
          <w:iCs w:val="0"/>
          <w:sz w:val="24"/>
          <w:szCs w:val="24"/>
        </w:rPr>
        <w:t xml:space="preserve">takes what Stages 1 and 2 do not explain. It points to a problem with the item or the model of the target sentence. The categories are provenance_specific, which means the item and seed works on the twin target of a different provenance. Then there </w:t>
      </w:r>
      <w:r>
        <w:rPr>
          <w:rFonts w:ascii="Times New Roman" w:hAnsi="Times New Roman" w:eastAsia="Times New Roman" w:cs="Times New Roman"/>
          <w:i w:val="0"/>
          <w:iCs w:val="0"/>
          <w:sz w:val="24"/>
          <w:szCs w:val="24"/>
        </w:rPr>
        <w:t xml:space="preserve">i</w:t>
      </w:r>
      <w:r>
        <w:rPr>
          <w:rFonts w:ascii="Times New Roman" w:hAnsi="Times New Roman" w:eastAsia="Times New Roman" w:cs="Times New Roman"/>
          <w:i w:val="0"/>
          <w:iCs w:val="0"/>
          <w:sz w:val="24"/>
          <w:szCs w:val="24"/>
        </w:rPr>
        <w:t xml:space="preserve">s cross_lingual_hard, which means the item fails across all three targets of the source. Class_collapse happens when the run predicts one class for at least 75% of the conditions rows and the failure is that class. Seed_unstable means another seed classifi</w:t>
      </w:r>
      <w:r>
        <w:rPr>
          <w:rFonts w:ascii="Times New Roman" w:hAnsi="Times New Roman" w:eastAsia="Times New Roman" w:cs="Times New Roman"/>
          <w:i w:val="0"/>
          <w:iCs w:val="0"/>
          <w:sz w:val="24"/>
          <w:szCs w:val="24"/>
        </w:rPr>
        <w:t xml:space="preserve">e</w:t>
      </w:r>
      <w:r>
        <w:rPr>
          <w:rFonts w:ascii="Times New Roman" w:hAnsi="Times New Roman" w:eastAsia="Times New Roman" w:cs="Times New Roman"/>
          <w:i w:val="0"/>
          <w:iCs w:val="0"/>
          <w:sz w:val="24"/>
          <w:szCs w:val="24"/>
        </w:rPr>
        <w:t xml:space="preserve">d the item correctly. The order of importance is translation_drift, tokenizer_fragmentation, morphological_masking, terminology_gap provenance_specific, cross_lingual_hard, class_collapse, seed_unstable and unattributed. Each label falls into one of four c</w:t>
      </w:r>
      <w:r>
        <w:rPr>
          <w:rFonts w:ascii="Times New Roman" w:hAnsi="Times New Roman" w:eastAsia="Times New Roman" w:cs="Times New Roman"/>
          <w:i w:val="0"/>
          <w:iCs w:val="0"/>
          <w:sz w:val="24"/>
          <w:szCs w:val="24"/>
        </w:rPr>
        <w:t xml:space="preserve">ategories: data, model or unattributed. The unattributed part is shown as a result not hidden. The labels were checked manually on 200 failures, 50, for each target language.</w:t>
      </w:r>
      <w:r>
        <w:rPr>
          <w:rFonts w:ascii="Times New Roman" w:hAnsi="Times New Roman" w:eastAsia="Times New Roman" w:cs="Times New Roman"/>
          <w:i w:val="0"/>
          <w:iCs w:val="0"/>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Aggregation and Finding Rule</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unit of analysis is a failed (item, seed) row. I think a group’s share of a label is simply the fraction of its failures that carry that label. Shares therefore describe what failures consist of. I notice that labels are not compared against predictions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 a share does not show that a property makes failure more likely. Each share carries a 95 percent bootstrap interval that resamples (condition item) clusters so an item failing on all three seeds counts once. Groups are compared by target direction, sour</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e language, encoder and text provenance. A difference counts as a finding only if the two intervals do not overlap and the difference points the way on both encoders (on both tasks, for the encoder comparison). I added this rule before any table was read.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very comparison is repeated without the source runs that never trained. A difference that a known measurement limit could produce on its own is reported with that caveat attached; for example Hindi targets can never receive the label because Hindi writes p</w:t>
      </w:r>
      <w:r>
        <w:rPr>
          <w:rFonts w:ascii="Times New Roman" w:hAnsi="Times New Roman" w:eastAsia="Times New Roman" w:cs="Times New Roman"/>
          <w:sz w:val="24"/>
          <w:szCs w:val="24"/>
        </w:rPr>
        <w:t xml:space="preserve">ostpositions as separate words.</w:t>
      </w:r>
      <w:r>
        <w:rPr>
          <w:rFonts w:ascii="Times New Roman" w:hAnsi="Times New Roman" w:eastAsia="Times New Roman" w:cs="Times New Roman"/>
          <w:sz w:val="24"/>
          <w:szCs w:val="24"/>
        </w:rPr>
      </w:r>
      <w:r/>
    </w:p>
    <w:p>
      <w:pPr>
        <w:pStyle w:val="905"/>
        <w:numPr>
          <w:ilvl w:val="0"/>
          <w:numId w:val="7"/>
        </w:numPr>
        <w:pBdr/>
        <w:spacing/>
        <w:ind/>
        <w:jc w:val="left"/>
        <w:rPr/>
      </w:pPr>
      <w:r>
        <w:rPr>
          <w:rFonts w:ascii="Times New Roman" w:hAnsi="Times New Roman" w:eastAsia="Times New Roman" w:cs="Times New Roman"/>
          <w:sz w:val="24"/>
          <w:szCs w:val="24"/>
        </w:rPr>
        <w:t xml:space="preserve">Reproducibility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corpus data is stored as Parquet. Two runs of one configuration produce byte- output. Every artefact records its configuration hash. All experiments ran on a 4 GB laptop GPU (RTX 3050). That GPU decision led to three choices. First every GPU job checkpo</w:t>
      </w:r>
      <w:r>
        <w:rPr>
          <w:rFonts w:ascii="Times New Roman" w:hAnsi="Times New Roman" w:eastAsia="Times New Roman" w:cs="Times New Roman"/>
          <w:sz w:val="24"/>
          <w:szCs w:val="24"/>
        </w:rPr>
        <w:t xml:space="preserve">ints after each batch and resumes. Second batches are. Retried when an out-of-memory error occurs. Third jobs do not silently fall back, to the CPU. The CPU uses arithmetic, which creates translations that differ from those of the GPU, which uses float16.</w:t>
      </w:r>
      <w:r>
        <w:rPr>
          <w:rFonts w:ascii="Times New Roman" w:hAnsi="Times New Roman" w:eastAsia="Times New Roman" w:cs="Times New Roman"/>
          <w:sz w:val="24"/>
          <w:szCs w:val="24"/>
        </w:rPr>
      </w:r>
      <w:r/>
    </w:p>
    <w:p w14:paraId="485C8C96" w14:textId="0ABA1102">
      <w:pPr>
        <w:pStyle w:val="905"/>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 report corpus quality first because every later number depends on corpus quality. Then I report in-language baselines, zero-shot transfer, encoder and source-language comparisons. Finally I report attribution of failures to causes. Unless stated otherwise</w:t>
      </w:r>
      <w:r>
        <w:rPr>
          <w:rFonts w:ascii="Times New Roman" w:hAnsi="Times New Roman" w:eastAsia="Times New Roman" w:cs="Times New Roman"/>
          <w:sz w:val="24"/>
          <w:szCs w:val="24"/>
        </w:rPr>
        <w:t xml:space="preserve"> figures shown are averages taken from three seeds, with standard deviation shown and macro-F1 is the metric.</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Corpus Quality</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three corpora pass every blocking check. Each block joins four ways—10,640, 6,130 and 6,016 items for task 1; 2,238, 2,228 and 2,072 for task 2;. 532 Per block for task 3. No translated row has a label that differs from its source label.. No translation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returned empty. Table III summarizes the -blocking findings. Task 1 is roughly an order of magnitude than the other two tasks on every measure. This makes sense given the content of task 1. It is the task that is dense with numerals, named entities and nuk</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 characters. These are the types of elements that the two IndicTrans2 corruption modes target. Unrestored entity placeholders are the issue accounting for 5.2% of rows in task 1. Script leakage always involves a brand or domain name that was left untransl</w:t>
      </w:r>
      <w:r>
        <w:rPr>
          <w:rFonts w:ascii="Times New Roman" w:hAnsi="Times New Roman" w:eastAsia="Times New Roman" w:cs="Times New Roman"/>
          <w:sz w:val="24"/>
          <w:szCs w:val="24"/>
        </w:rPr>
        <w:t xml:space="preserve">ated in the original script. This is a translation failure, than damage caused by encoding issues.</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III. TRANSLATION QUALITY BY TASK</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360"/>
        <w:gridCol w:w="2000"/>
        <w:gridCol w:w="2000"/>
        <w:gridCol w:w="2000"/>
      </w:tblGrid>
      <w:tr>
        <w:trPr>
          <w:tblHeader/>
        </w:trPr>
        <w:tc>
          <w:tcPr>
            <w:tcBorders>
              <w:bottom w:val="single" w:color="000000" w:sz="8" w:space="0"/>
            </w:tcBorders>
            <w:tcW w:w="3360" w:type="dxa"/>
          </w:tcPr>
          <w:p>
            <w:pPr>
              <w:pStyle w:val="900"/>
              <w:pBdr/>
              <w:spacing w:after="20" w:before="20"/>
              <w:ind w:left="0"/>
              <w:jc w:val="left"/>
              <w:rPr/>
            </w:pPr>
            <w:r>
              <w:rPr>
                <w:rFonts w:ascii="Times New Roman" w:hAnsi="Times New Roman" w:eastAsia="Times New Roman" w:cs="Times New Roman"/>
                <w:b/>
                <w:sz w:val="20"/>
                <w:szCs w:val="20"/>
              </w:rPr>
              <w:t xml:space="preserve">Measure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1</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2</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Task 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Machine-translated rows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68,358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19,614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4,788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Placeholder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3,524 (5.2%)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18 (0.1%)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 (0.1%)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Escape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734 (1.1%)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 (&lt;0.1%)</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Script leakage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421 (0.6%)</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17 (0.4%)</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Suspected truncation</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 (1.7%)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 (&lt;0.1%)</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Below τ (translation_drift)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11,419 (16.7%)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357 (1.8%)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85 (1.8%)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τ</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 (inherited)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0.73</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Median LaBSE,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0.844–0.937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0.902–0.949</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0.859–0.908</w:t>
            </w:r>
            <w:r/>
          </w:p>
        </w:tc>
      </w:tr>
      <w:tr>
        <w:trPr/>
        <w:tc>
          <w:tcPr>
            <w:tcBorders/>
            <w:tcW w:w="3360" w:type="dxa"/>
          </w:tcPr>
          <w:p>
            <w:pPr>
              <w:pStyle w:val="900"/>
              <w:pBdr/>
              <w:spacing w:after="20" w:before="20"/>
              <w:ind w:left="0"/>
              <w:jc w:val="left"/>
              <w:rPr/>
            </w:pPr>
            <w:r>
              <w:rPr>
                <w:rFonts w:ascii="Times New Roman" w:hAnsi="Times New Roman" w:eastAsia="Times New Roman" w:cs="Times New Roman"/>
                <w:sz w:val="20"/>
                <w:szCs w:val="20"/>
              </w:rPr>
              <w:t xml:space="preserve">Entity preservation, range over directions</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49.8–78.7%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89.5–95.7%</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77.4–97.0%</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measures survival directly (Table IV). The annotated numeral is recovered in 82.8 percent of translations and on every row the recovered offsets slice out exactly the annotated number. Rechecking the rows with the value‑level entity comparison separa</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es the kinds of loss. In 9.7 percent of rows the output keeps digits. Not the annotated value, in 3.7 percent the digits are corrupted and in 3.3 percent there are no digits at all. 0.4 Percent are the same quantity rescaled. In thirty rows (0.04 percent) </w:t>
      </w:r>
      <w:r>
        <w:rPr>
          <w:rFonts w:ascii="Times New Roman" w:hAnsi="Times New Roman" w:eastAsia="Times New Roman" w:cs="Times New Roman"/>
          <w:sz w:val="24"/>
          <w:szCs w:val="24"/>
        </w:rPr>
        <w:t xml:space="preserve">the quantity. The recovery missed it which bounds the error of the recovery procedure itself. One financial numeral, in six therefore does not survive Indic‑to‑Indic translation intact.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IV. SURVIVAL OF THE ANNOTATED NUMERAL (TASK 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5360"/>
        <w:gridCol w:w="2000"/>
        <w:gridCol w:w="2000"/>
      </w:tblGrid>
      <w:tr>
        <w:trPr>
          <w:tblHeader/>
        </w:trPr>
        <w:tc>
          <w:tcPr>
            <w:tcBorders>
              <w:bottom w:val="single" w:color="000000" w:sz="8" w:space="0"/>
            </w:tcBorders>
            <w:tcW w:w="5360" w:type="dxa"/>
          </w:tcPr>
          <w:p>
            <w:pPr>
              <w:pStyle w:val="900"/>
              <w:pBdr/>
              <w:spacing w:after="20" w:before="20"/>
              <w:ind w:left="0"/>
              <w:jc w:val="left"/>
              <w:rPr/>
            </w:pPr>
            <w:r>
              <w:rPr>
                <w:rFonts w:ascii="Times New Roman" w:hAnsi="Times New Roman" w:eastAsia="Times New Roman" w:cs="Times New Roman"/>
                <w:b/>
                <w:sz w:val="20"/>
                <w:szCs w:val="20"/>
              </w:rPr>
              <w:t xml:space="preserve">Outcome</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Rows</w:t>
            </w:r>
            <w:r/>
          </w:p>
        </w:tc>
        <w:tc>
          <w:tcPr>
            <w:tcBorders>
              <w:bottom w:val="single" w:color="000000" w:sz="8" w:space="0"/>
            </w:tcBorders>
            <w:tcW w:w="2000" w:type="dxa"/>
          </w:tcPr>
          <w:p>
            <w:pPr>
              <w:pStyle w:val="900"/>
              <w:pBdr/>
              <w:spacing w:after="20" w:before="20"/>
              <w:ind w:left="0"/>
              <w:jc w:val="center"/>
              <w:rPr/>
            </w:pPr>
            <w:r>
              <w:rPr>
                <w:rFonts w:ascii="Times New Roman" w:hAnsi="Times New Roman" w:eastAsia="Times New Roman" w:cs="Times New Roman"/>
                <w:b/>
                <w:sz w:val="20"/>
                <w:szCs w:val="20"/>
              </w:rPr>
              <w:t xml:space="preserve">Share</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Span recovered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56,624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82.8%</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Digits present, annotated value gone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6,618</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9.7%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Output corrupted (placeholder or escape)</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2,560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3.7%</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No digits in the output</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2,234</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3.3%</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Same quantity, rescaled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292</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0.4%</w:t>
            </w:r>
            <w:r/>
          </w:p>
        </w:tc>
      </w:tr>
      <w:tr>
        <w:trPr/>
        <w:tc>
          <w:tcPr>
            <w:tcBorders/>
            <w:tcW w:w="5360" w:type="dxa"/>
          </w:tcPr>
          <w:p>
            <w:pPr>
              <w:pStyle w:val="900"/>
              <w:pBdr/>
              <w:spacing w:after="20" w:before="20"/>
              <w:ind w:left="0"/>
              <w:jc w:val="left"/>
              <w:rPr/>
            </w:pPr>
            <w:r>
              <w:rPr>
                <w:rFonts w:ascii="Times New Roman" w:hAnsi="Times New Roman" w:eastAsia="Times New Roman" w:cs="Times New Roman"/>
                <w:sz w:val="20"/>
                <w:szCs w:val="20"/>
              </w:rPr>
              <w:t xml:space="preserve">Quantity preserved, span missed</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30</w:t>
            </w:r>
            <w:r/>
          </w:p>
        </w:tc>
        <w:tc>
          <w:tcPr>
            <w:tcBorders/>
            <w:tcW w:w="2000" w:type="dxa"/>
          </w:tcPr>
          <w:p>
            <w:pPr>
              <w:pStyle w:val="900"/>
              <w:pBdr/>
              <w:spacing w:after="20" w:before="20"/>
              <w:ind w:left="0"/>
              <w:jc w:val="center"/>
              <w:rPr/>
            </w:pPr>
            <w:r>
              <w:rPr>
                <w:rFonts w:ascii="Times New Roman" w:hAnsi="Times New Roman" w:eastAsia="Times New Roman" w:cs="Times New Roman"/>
                <w:sz w:val="20"/>
                <w:szCs w:val="20"/>
              </w:rPr>
              <w:t xml:space="preserve">0.04%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ounting every currency symbol and percentage in a sentence not just the annotated one makes the rule stricter; rows with corruption (6.2 % of task 1) are excluded from this rate yet even so no task‑1 direction reaches the 95 % preservation bar with rates r</w:t>
      </w:r>
      <w:r>
        <w:rPr>
          <w:rFonts w:ascii="Times New Roman" w:hAnsi="Times New Roman" w:eastAsia="Times New Roman" w:cs="Times New Roman"/>
          <w:sz w:val="24"/>
          <w:szCs w:val="24"/>
        </w:rPr>
        <w:t xml:space="preserve">anging from 49.8 % for Bengali→Malayalam to 78.7 % for Telugu→Hindi while task‑2 directions span 89.5 % to 95.7 % and task‑3 directions range 77.4 % to 97.0 % and in each case the weakest direction is Hindi→Malayalam</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On </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aBSE similarity task‑1 divides by source language with Hindi‑source directions holding a similarity of 0.906–0.937 and falling below τ on 5–11 % of rows whereas Bengali‑source directions sit at 0.844–0.854 and fall below τ on 29–34 % of rows a pattern that</w:t>
      </w:r>
      <w:r>
        <w:rPr>
          <w:rFonts w:ascii="Times New Roman" w:hAnsi="Times New Roman" w:eastAsia="Times New Roman" w:cs="Times New Roman"/>
          <w:sz w:val="24"/>
          <w:szCs w:val="24"/>
        </w:rPr>
        <w:t xml:space="preserve"> appears only in task‑1— the sole task whose blocks contain different sentences— so it reflects the source texts as much as the translation directions</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The </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uman translations in tasks 2 and 3 make the threshold checkable as task‑2’s median human pair scores 0.921 with a 5th percentile of 0.846 and τ = 0.82 accepting all of them whereas task‑3’s median is 0.870 and the 5th percentile 0.729 so τ = 0.82 would rej</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ct 23.4 % of human translations a difference caused by text length (a median of 148 characters on task‑2 versus 86 on task‑3) because LaBSE cosine falls as context shortens and at the calibrated τ = 0.73 task‑3’s drift‑flagged rows drop from 740 to 85; a s</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cond result qualifies every similarity figure in this paper: machine translation scores higher than human translation of the same items across all calibratable tasks and every language pair so for example on task‑2 Hindi→Bengali MT scores 0.950 against 0.9</w:t>
      </w:r>
      <w:r>
        <w:rPr>
          <w:rFonts w:ascii="Times New Roman" w:hAnsi="Times New Roman" w:eastAsia="Times New Roman" w:cs="Times New Roman"/>
          <w:sz w:val="24"/>
          <w:szCs w:val="24"/>
        </w:rPr>
        <w:t xml:space="preserve">18 for the human Bengali–Hindi pair and LaBSE cosine rewards literal translation thus ranking directions usefully but proving to be a poor absolute measure of adequacy</w:t>
      </w:r>
      <w:r>
        <w:rPr>
          <w:rFonts w:ascii="Times New Roman" w:hAnsi="Times New Roman" w:eastAsia="Times New Roman" w:cs="Times New Roman"/>
          <w:sz w:val="24"/>
          <w:szCs w:val="24"/>
        </w:rPr>
        <w:t xml:space="preserve">.</w:t>
      </w:r>
      <w:r/>
    </w:p>
    <w:p>
      <w:pPr>
        <w:pStyle w:val="900"/>
        <w:pBdr/>
        <w:spacing/>
        <w:ind w:firstLine="288" w:left="0"/>
        <w:jc w:val="both"/>
        <w:rPr/>
      </w:pPr>
      <w:r>
        <w:rPr>
          <w:rFonts w:ascii="Times New Roman" w:hAnsi="Times New Roman" w:eastAsia="Times New Roman" w:cs="Times New Roman"/>
          <w:sz w:val="24"/>
          <w:szCs w:val="24"/>
        </w:rPr>
        <w:t xml:space="preserve">Ranking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nine directions on drift, entity preservation, corruption and truncation by the mean of per‑measure ranks—so that no weights need to be invented— yields one result that holds on every task, namely translating into a Dravidian language drifts more than t</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anslating from Telugu back into an Indo‑Aryan one by 2.6 points on task‑1 (20.3 % against 17.6 %) 2.6 on task‑2 (3.1 % against 0.5 %) and 0.6 on task‑3 (2.1 % against 1.5 % at its calibrated τ); two other comparisons reverse between tasks: whether Hindi→Ma</w:t>
      </w:r>
      <w:r>
        <w:rPr>
          <w:rFonts w:ascii="Times New Roman" w:hAnsi="Times New Roman" w:eastAsia="Times New Roman" w:cs="Times New Roman"/>
          <w:sz w:val="24"/>
          <w:szCs w:val="24"/>
        </w:rPr>
        <w:t xml:space="preserve">layalam is worse than Bengali→Malayalam and whether Telugu‑source directions drift more than, Indo‑Aryan‑source ones, neither of which is reported as a property of the language pair.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In-Language Baselines</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 shows the in-language macro-F1 scores on each held-out test fold. Five out of the six IndicBERT baselines achieve scores at or above the figure published by IndicFinNLP. The only exception is task-2 Hindi, which's 3.7 points lower. The training beha</w:t>
      </w:r>
      <w:r>
        <w:rPr>
          <w:rFonts w:ascii="Times New Roman" w:hAnsi="Times New Roman" w:eastAsia="Times New Roman" w:cs="Times New Roman"/>
          <w:sz w:val="24"/>
          <w:szCs w:val="24"/>
        </w:rPr>
        <w:t xml:space="preserve">v</w:t>
      </w:r>
      <w:r>
        <w:rPr>
          <w:rFonts w:ascii="Times New Roman" w:hAnsi="Times New Roman" w:eastAsia="Times New Roman" w:cs="Times New Roman"/>
          <w:sz w:val="24"/>
          <w:szCs w:val="24"/>
        </w:rPr>
        <w:t xml:space="preserve">ior for this task appears training macro-F1 stays at or above 0.987 for every seed, with a test standard deviation of just 0.004. We believe the lower performance stems from our per-seed resampled test fold and unoptimized hyperparameters not from any flaw</w:t>
      </w:r>
      <w:r>
        <w:rPr>
          <w:rFonts w:ascii="Times New Roman" w:hAnsi="Times New Roman" w:eastAsia="Times New Roman" w:cs="Times New Roman"/>
          <w:sz w:val="24"/>
          <w:szCs w:val="24"/>
        </w:rPr>
        <w:t xml:space="preserve"> in the model itself. The comparison for task-3 adds value: the published score of 0.05 comes from a model that predicts a single class for all inputs so beating it only shows our models perform better, than random guessing.</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 IN-LANGUAGE MACRO-F1 ON HELD-OUT TEST FOLDS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200"/>
        <w:gridCol w:w="1560"/>
        <w:gridCol w:w="1800"/>
        <w:gridCol w:w="2400"/>
        <w:gridCol w:w="2400"/>
      </w:tblGrid>
      <w:tr>
        <w:trPr>
          <w:tblHeader/>
        </w:trPr>
        <w:tc>
          <w:tcPr>
            <w:tcBorders>
              <w:bottom w:val="single" w:color="000000" w:sz="8" w:space="0"/>
            </w:tcBorders>
            <w:tcW w:w="1200" w:type="dxa"/>
          </w:tcPr>
          <w:p>
            <w:pPr>
              <w:pStyle w:val="900"/>
              <w:pBdr/>
              <w:spacing w:after="20" w:before="20"/>
              <w:ind w:left="0"/>
              <w:jc w:val="left"/>
              <w:rPr/>
            </w:pPr>
            <w:r>
              <w:rPr>
                <w:rFonts w:ascii="Times New Roman" w:hAnsi="Times New Roman" w:eastAsia="Times New Roman" w:cs="Times New Roman"/>
                <w:b/>
                <w:sz w:val="20"/>
                <w:szCs w:val="20"/>
              </w:rPr>
              <w:t xml:space="preserve">Task</w:t>
            </w:r>
            <w:r/>
          </w:p>
        </w:tc>
        <w:tc>
          <w:tcPr>
            <w:tcBorders>
              <w:bottom w:val="single" w:color="000000" w:sz="8" w:space="0"/>
            </w:tcBorders>
            <w:tcW w:w="1560" w:type="dxa"/>
          </w:tcPr>
          <w:p>
            <w:pPr>
              <w:pStyle w:val="900"/>
              <w:pBdr/>
              <w:spacing w:after="20" w:before="20"/>
              <w:ind w:left="0"/>
              <w:jc w:val="center"/>
              <w:rPr/>
            </w:pPr>
            <w:r>
              <w:rPr>
                <w:rFonts w:ascii="Times New Roman" w:hAnsi="Times New Roman" w:eastAsia="Times New Roman" w:cs="Times New Roman"/>
                <w:b/>
                <w:sz w:val="20"/>
                <w:szCs w:val="20"/>
              </w:rPr>
              <w:t xml:space="preserve">Language</w:t>
            </w:r>
            <w:r/>
          </w:p>
        </w:tc>
        <w:tc>
          <w:tcPr>
            <w:tcBorders>
              <w:bottom w:val="single" w:color="000000" w:sz="8" w:space="0"/>
            </w:tcBorders>
            <w:tcW w:w="1800" w:type="dxa"/>
          </w:tcPr>
          <w:p>
            <w:pPr>
              <w:pStyle w:val="900"/>
              <w:pBdr/>
              <w:spacing w:after="20" w:before="20"/>
              <w:ind w:left="0"/>
              <w:jc w:val="center"/>
              <w:rPr/>
            </w:pPr>
            <w:r>
              <w:rPr>
                <w:rFonts w:ascii="Times New Roman" w:hAnsi="Times New Roman" w:eastAsia="Times New Roman" w:cs="Times New Roman"/>
                <w:b/>
                <w:sz w:val="20"/>
                <w:szCs w:val="20"/>
              </w:rPr>
              <w:t xml:space="preserve">Published [1]</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0.80</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0.820 ± 0.028</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0.858 ± 0.014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2</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0.79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0.819 ± 0.015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0.860 ± 0.009</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Hindi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Bengali</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0.127 ± 0.055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0.292 ± 0.074</w:t>
            </w:r>
            <w:r/>
          </w:p>
        </w:tc>
      </w:tr>
      <w:tr>
        <w:trPr/>
        <w:tc>
          <w:tcPr>
            <w:tcBorders/>
            <w:tcW w:w="1200" w:type="dxa"/>
          </w:tcPr>
          <w:p>
            <w:pPr>
              <w:pStyle w:val="900"/>
              <w:pBdr/>
              <w:spacing w:after="20" w:before="20"/>
              <w:ind w:left="0"/>
              <w:jc w:val="left"/>
              <w:rPr/>
            </w:pPr>
            <w:r>
              <w:rPr>
                <w:rFonts w:ascii="Times New Roman" w:hAnsi="Times New Roman" w:eastAsia="Times New Roman" w:cs="Times New Roman"/>
                <w:sz w:val="20"/>
                <w:szCs w:val="20"/>
              </w:rPr>
              <w:t xml:space="preserve">3</w:t>
            </w:r>
            <w:r/>
          </w:p>
        </w:tc>
        <w:tc>
          <w:tcPr>
            <w:tcBorders/>
            <w:tcW w:w="1560" w:type="dxa"/>
          </w:tcPr>
          <w:p>
            <w:pPr>
              <w:pStyle w:val="900"/>
              <w:pBdr/>
              <w:spacing w:after="20" w:before="20"/>
              <w:ind w:left="0"/>
              <w:jc w:val="center"/>
              <w:rPr/>
            </w:pPr>
            <w:r>
              <w:rPr>
                <w:rFonts w:ascii="Times New Roman" w:hAnsi="Times New Roman" w:eastAsia="Times New Roman" w:cs="Times New Roman"/>
                <w:sz w:val="20"/>
                <w:szCs w:val="20"/>
              </w:rPr>
              <w:t xml:space="preserve">Telugu</w:t>
            </w:r>
            <w:r/>
          </w:p>
        </w:tc>
        <w:tc>
          <w:tcPr>
            <w:tcBorders/>
            <w:tcW w:w="1800" w:type="dxa"/>
          </w:tcPr>
          <w:p>
            <w:pPr>
              <w:pStyle w:val="900"/>
              <w:pBdr/>
              <w:spacing w:after="20" w:before="20"/>
              <w:ind w:left="0"/>
              <w:jc w:val="center"/>
              <w:rPr/>
            </w:pPr>
            <w:r>
              <w:rPr>
                <w:rFonts w:ascii="Times New Roman" w:hAnsi="Times New Roman" w:eastAsia="Times New Roman" w:cs="Times New Roman"/>
                <w:sz w:val="20"/>
                <w:szCs w:val="20"/>
              </w:rPr>
              <w:t xml:space="preserve">0.05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0.095 ± 0.047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0.243 ± 0.036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hree of the nine task-3 IndicBERT runs never matched their training data. Bengali seed 0 and Telugu seeds 0 and 2 stayed below 0.5 training macro-F1. On a task at its data ceiling their test scores look like a run, which is why we check convergence on the </w:t>
      </w:r>
      <w:r>
        <w:rPr>
          <w:rFonts w:ascii="Times New Roman" w:hAnsi="Times New Roman" w:eastAsia="Times New Roman" w:cs="Times New Roman"/>
          <w:sz w:val="24"/>
          <w:szCs w:val="24"/>
        </w:rPr>
        <w:t xml:space="preserve">training set. MBERT had no failures under identical settings. These runs stay in every all-seeds chart, for seeds that over-converged only task-3 Bengali and Telugu score 0.159 and 0.150.</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Zero-Shot Transfer</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VI shows the transfer gap for each source–target pair, task and encoder. There are two things to keep in mind when looking at these numbers. First the in-language score that the gap is measured against comes from the evaluation items in the source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 For task 2 80% of these items are from the source model’s training fold and for task 3 it’s about 70%. That means the score is not truly a test of unseen data. It’s more like a training-text ceiling. For example with task-2 Hindi and IndicBERT the, 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-language score is 0.954. On the held-out fold it drops to 0.823. The transfer gap shows how much performance drops compared to that training ceiling. Second task 3 has hit its data ceiling. There are 532 headlines split across ten classes. There just isn’</w:t>
      </w:r>
      <w:r>
        <w:rPr>
          <w:rFonts w:ascii="Times New Roman" w:hAnsi="Times New Roman" w:eastAsia="Times New Roman" w:cs="Times New Roman"/>
          <w:sz w:val="24"/>
          <w:szCs w:val="24"/>
        </w:rPr>
        <w:t xml:space="preserve">t more data to add.</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 TRANSFER GAP (SOURCE − TARGET MACRO-F1)</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2120"/>
        <w:gridCol w:w="1810"/>
        <w:gridCol w:w="1810"/>
        <w:gridCol w:w="1810"/>
        <w:gridCol w:w="1810"/>
      </w:tblGrid>
      <w:tr>
        <w:trPr>
          <w:tblHeader/>
        </w:trPr>
        <w:tc>
          <w:tcPr>
            <w:tcBorders>
              <w:bottom w:val="single" w:color="000000" w:sz="8" w:space="0"/>
            </w:tcBorders>
            <w:tcW w:w="2120" w:type="dxa"/>
          </w:tcPr>
          <w:p>
            <w:pPr>
              <w:pStyle w:val="900"/>
              <w:pBdr/>
              <w:spacing w:after="20" w:before="20"/>
              <w:ind w:left="0"/>
              <w:jc w:val="left"/>
              <w:rPr/>
            </w:pPr>
            <w:r>
              <w:rPr>
                <w:rFonts w:ascii="Times New Roman" w:hAnsi="Times New Roman" w:eastAsia="Times New Roman" w:cs="Times New Roman"/>
                <w:b/>
                <w:sz w:val="20"/>
                <w:szCs w:val="20"/>
              </w:rPr>
              <w:t xml:space="preserve">Direction</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2 mBERT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IndicBERT</w:t>
            </w:r>
            <w:r/>
          </w:p>
        </w:tc>
        <w:tc>
          <w:tcPr>
            <w:tcBorders>
              <w:bottom w:val="single" w:color="000000" w:sz="8" w:space="0"/>
            </w:tcBorders>
            <w:tcW w:w="1810" w:type="dxa"/>
          </w:tcPr>
          <w:p>
            <w:pPr>
              <w:pStyle w:val="900"/>
              <w:pBdr/>
              <w:spacing w:after="20" w:before="20"/>
              <w:ind w:left="0"/>
              <w:jc w:val="center"/>
              <w:rPr/>
            </w:pPr>
            <w:r>
              <w:rPr>
                <w:rFonts w:ascii="Times New Roman" w:hAnsi="Times New Roman" w:eastAsia="Times New Roman" w:cs="Times New Roman"/>
                <w:b/>
                <w:sz w:val="20"/>
                <w:szCs w:val="20"/>
              </w:rPr>
              <w:t xml:space="preserve">Task 3 mBERT</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0.448 ± 0.072</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0.142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0.510 ± 0.168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0.049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0.453 ± 0.038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0.236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0.514 ± 0.170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0.516 ± 0.073</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Hindi→Malayalam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0.387 ± 0.057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0.209 ± 0.007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0.184</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0.561 ± 0.050</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0.263 ± 0.053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0.105 ± 0.023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0.163ᵃ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0.494 ± 0.004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Bengali→Telugu</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0.404 ± 0.015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0.176 ± 0.010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0.504 ± 0.132ᵃ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0.523 ± 0.019</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Bengali→Malayalam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0.367 ± 0.043</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0.179 ± 0.028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0.515 ± 0.115ᵃ</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0.538 ± 0.031</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Telugu→Hindi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0.361 ± 0.105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0.159 ± 0.060</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0.489 ± 0.025</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Telugu→Bengali</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0.323 ± 0.047</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0.196 ± 0.058</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0.478ᵇ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0.524 ± 0.034</w:t>
            </w:r>
            <w:r/>
          </w:p>
        </w:tc>
      </w:tr>
      <w:tr>
        <w:trPr/>
        <w:tc>
          <w:tcPr>
            <w:tcBorders/>
            <w:tcW w:w="2120" w:type="dxa"/>
          </w:tcPr>
          <w:p>
            <w:pPr>
              <w:pStyle w:val="900"/>
              <w:pBdr/>
              <w:spacing w:after="20" w:before="20"/>
              <w:ind w:left="0"/>
              <w:jc w:val="left"/>
              <w:rPr/>
            </w:pPr>
            <w:r>
              <w:rPr>
                <w:rFonts w:ascii="Times New Roman" w:hAnsi="Times New Roman" w:eastAsia="Times New Roman" w:cs="Times New Roman"/>
                <w:sz w:val="20"/>
                <w:szCs w:val="20"/>
              </w:rPr>
              <w:t xml:space="preserve">Telugu→Malayalam</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0.417 ± 0.005</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0.167 ± 0.056</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0.456ᵇ</w:t>
            </w:r>
            <w:r/>
          </w:p>
        </w:tc>
        <w:tc>
          <w:tcPr>
            <w:tcBorders/>
            <w:tcW w:w="1810" w:type="dxa"/>
          </w:tcPr>
          <w:p>
            <w:pPr>
              <w:pStyle w:val="900"/>
              <w:pBdr/>
              <w:spacing w:after="20" w:before="20"/>
              <w:ind w:left="0"/>
              <w:jc w:val="center"/>
              <w:rPr/>
            </w:pPr>
            <w:r>
              <w:rPr>
                <w:rFonts w:ascii="Times New Roman" w:hAnsi="Times New Roman" w:eastAsia="Times New Roman" w:cs="Times New Roman"/>
                <w:sz w:val="20"/>
                <w:szCs w:val="20"/>
              </w:rPr>
              <w:t xml:space="preserve">0.528 ± 0.054</w:t>
            </w:r>
            <w:r/>
          </w:p>
        </w:tc>
      </w:tr>
    </w:tbl>
    <w:p>
      <w:pPr>
        <w:pStyle w:val="900"/>
        <w:pBdr/>
        <w:spacing w:after="0"/>
        <w:ind w:left="0"/>
        <w:rPr/>
      </w:pPr>
      <w:r/>
      <w:r/>
    </w:p>
    <w:p>
      <w:pPr>
        <w:pStyle w:val="900"/>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costs take a share of in-language performance in every cell. On task 2 the differences run from 0.26 to 0.45 with IndicBERT and from 0.11 to 0.24 with mBERT. Out of Hindi IndicBERT loses 0.39 to 0.45 on task 2 and 0.50 to 0.51 on task 3. Evaluating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on machine-translated target text from the sources block instead of native text moves these differences by a few points at most (Hindi source, IndicBERT task 2: 0.38 to 0.47 against 0.39 to 0.45) so the loss is not an error of our translations. On task 3 t</w:t>
      </w:r>
      <w:r>
        <w:rPr>
          <w:rFonts w:ascii="Times New Roman" w:hAnsi="Times New Roman" w:eastAsia="Times New Roman" w:cs="Times New Roman"/>
          <w:sz w:val="24"/>
          <w:szCs w:val="24"/>
        </w:rPr>
        <w:t xml:space="preserve">he differences cluster between 0.46 and 0.56 no matter the source, target or encoder. </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translationese conditions keep the language fixed and change the texts provenance. With IndicBERT on task 2 a Hindi, Bengali or Telugu model scores 5.7 to 7.8 points on machine-translated text in its own language than on native text; on task 3 the drop </w:t>
      </w:r>
      <w:r>
        <w:rPr>
          <w:rFonts w:ascii="Times New Roman" w:hAnsi="Times New Roman" w:eastAsia="Times New Roman" w:cs="Times New Roman"/>
          <w:sz w:val="24"/>
          <w:szCs w:val="24"/>
        </w:rPr>
        <w:t xml:space="preserve">is 8.8 to 26.6 points. The native arm is the models split and so largely its training text while the translated arm is not. These differences are therefore a limit on the cost of translated input rather, than a direct measure of it.</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Encoder Comparison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BERT outperforms IndicBERT on the target language in all twelve Hindi‑source cells six for each task whether the targets are native or translated. The difference in macro‑F1 is between 0.15 and 0.37 which's greater than the combined seed spread of the two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ncoders in every cell (see Table VII). Additionally mBERT scores higher on in‑language held‑out data (see Table V). The two tasks show patterns. In task 2 mBERT starts at a point and loses less during transfer with gaps of 0.12 to 0.24 compared to 0.38 to </w:t>
      </w:r>
      <w:r>
        <w:rPr>
          <w:rFonts w:ascii="Times New Roman" w:hAnsi="Times New Roman" w:eastAsia="Times New Roman" w:cs="Times New Roman"/>
          <w:sz w:val="24"/>
          <w:szCs w:val="24"/>
        </w:rPr>
        <w:t xml:space="preserve">0.47 for IndicBERT. In task 3 both encoders lose the same amount, ranging from 0.45 to 0.56 for mBERT and 0.50 to 0.52, for IndicBERT. Therefore we do not claim that the better encoder always transfers better.</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 MACRO-F1 BY ENCODER, HINDI SOURCE</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0.823 ± 0.004</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0.874 ± 0.017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0.519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0.787</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2,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0.38–0.47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0.12–0.24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in-language (held-out)</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 ± 0.025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0.335 ± 0.042</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target (mean of 6 cells)</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0.087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0.294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Task 3, transfer gap (range)</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0.50–0.52</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0.45–0.56</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okenisation does not explain the result [28]. IndicBERT needs 14 to 24 percent tokens than mBERT for the same sentences. Its advantage is biggest when dealing with Malayalam. Still IndicBERT performs worse on every measure. Capacity might explain this. IndicBER</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shares the weights of one layer across all twelve layers. So its transformer body has 7.8 million parameters. MBERT has 85.6 million parameters. To separate capacity from breadth we need to compare mBERT against XLM-R. But we could not run that comparison</w:t>
      </w:r>
      <w:r>
        <w:rPr>
          <w:rFonts w:ascii="Times New Roman" w:hAnsi="Times New Roman" w:eastAsia="Times New Roman" w:cs="Times New Roman"/>
          <w:sz w:val="24"/>
          <w:szCs w:val="24"/>
        </w:rPr>
        <w:t xml:space="preserve">, on our hardware. So the reason remains unclear.</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Source Language and Direction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raining in Hindi creates the average difference on task 2 using both encoders and training in Bengali creates the smallest difference (Table VIII). The cost is mostly in the target language. When the target is a language the average difference is 0.406 wit</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 IndicBERT and 0.194 with mBERT compared to 0.349 and 0.151 when the target is an Indo-Aryan language. Section IV-A found the direction in translation quality using a different measure. Transfer is also not equal: moving from Hindi to Bengali causes loss t</w:t>
      </w:r>
      <w:r>
        <w:rPr>
          <w:rFonts w:ascii="Times New Roman" w:hAnsi="Times New Roman" w:eastAsia="Times New Roman" w:cs="Times New Roman"/>
          <w:sz w:val="24"/>
          <w:szCs w:val="24"/>
        </w:rPr>
        <w:t xml:space="preserve">han moving from Bengali to Hindi on both encoders beyond the effect of random seed differences (0.448 compared to 0.263 with IndicBERT, 0.142 compared to 0.105, with mBERT).</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VIII. MEAN TRANSFER GAP BY SOURCE AND TARGET FAMILY (TASK 2)</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pPr>
            <w:r>
              <w:rPr>
                <w:rFonts w:ascii="Times New Roman" w:hAnsi="Times New Roman" w:eastAsia="Times New Roman" w:cs="Times New Roman"/>
                <w:b/>
                <w:sz w:val="20"/>
                <w:szCs w:val="20"/>
              </w:rPr>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IndicBERT</w:t>
            </w:r>
            <w:r/>
          </w:p>
        </w:tc>
        <w:tc>
          <w:tcPr>
            <w:tcBorders>
              <w:bottom w:val="single" w:color="000000" w:sz="8" w:space="0"/>
            </w:tcBorders>
            <w:tcW w:w="2400" w:type="dxa"/>
          </w:tcPr>
          <w:p>
            <w:pPr>
              <w:pStyle w:val="900"/>
              <w:pBdr/>
              <w:spacing w:after="20" w:before="20"/>
              <w:ind w:left="0"/>
              <w:jc w:val="center"/>
              <w:rPr/>
            </w:pPr>
            <w:r>
              <w:rPr>
                <w:rFonts w:ascii="Times New Roman" w:hAnsi="Times New Roman" w:eastAsia="Times New Roman" w:cs="Times New Roman"/>
                <w:b/>
                <w:sz w:val="20"/>
                <w:szCs w:val="20"/>
              </w:rPr>
              <w:t xml:space="preserve">mBERT</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Bengali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0.345</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0.153</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Telugu</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0.367</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0.174</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Source: Hindi</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0.429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0.196</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Indo-Aryan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0.349</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0.151</w:t>
            </w:r>
            <w:r/>
          </w:p>
        </w:tc>
      </w:tr>
      <w:tr>
        <w:trPr/>
        <w:tc>
          <w:tcPr>
            <w:tcBorders/>
            <w:tcW w:w="4560" w:type="dxa"/>
          </w:tcPr>
          <w:p>
            <w:pPr>
              <w:pStyle w:val="900"/>
              <w:pBdr/>
              <w:spacing w:after="20" w:before="20"/>
              <w:ind w:left="0"/>
              <w:jc w:val="left"/>
              <w:rPr/>
            </w:pPr>
            <w:r>
              <w:rPr>
                <w:rFonts w:ascii="Times New Roman" w:hAnsi="Times New Roman" w:eastAsia="Times New Roman" w:cs="Times New Roman"/>
                <w:sz w:val="20"/>
                <w:szCs w:val="20"/>
              </w:rPr>
              <w:t xml:space="preserve">Target family: Dravidian</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0.406</w:t>
            </w:r>
            <w:r/>
          </w:p>
        </w:tc>
        <w:tc>
          <w:tcPr>
            <w:tcBorders/>
            <w:tcW w:w="2400" w:type="dxa"/>
          </w:tcPr>
          <w:p>
            <w:pPr>
              <w:pStyle w:val="900"/>
              <w:pBdr/>
              <w:spacing w:after="20" w:before="20"/>
              <w:ind w:left="0"/>
              <w:jc w:val="center"/>
              <w:rPr/>
            </w:pPr>
            <w:r>
              <w:rPr>
                <w:rFonts w:ascii="Times New Roman" w:hAnsi="Times New Roman" w:eastAsia="Times New Roman" w:cs="Times New Roman"/>
                <w:sz w:val="20"/>
                <w:szCs w:val="20"/>
              </w:rPr>
              <w:t xml:space="preserve">0.194</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ypological proximity does not reliably pick the source. A same-family source is best for one of three targets with IndicBERT and for all three targets with mBERT. The two encoders also disagree about Malayalams source. The best source for Malayalam is Beng</w:t>
      </w:r>
      <w:r>
        <w:rPr>
          <w:rFonts w:ascii="Times New Roman" w:hAnsi="Times New Roman" w:eastAsia="Times New Roman" w:cs="Times New Roman"/>
          <w:sz w:val="24"/>
          <w:szCs w:val="24"/>
        </w:rPr>
        <w:t xml:space="preserve">ali when using IndicBERT and Telugu when using mBERT. Task 3 supports no source comparison. There is no difference, between sources and no direction asymmetry exceeds seed noise.</w:t>
      </w:r>
      <w:r>
        <w:rPr>
          <w:rFonts w:ascii="Times New Roman" w:hAnsi="Times New Roman" w:eastAsia="Times New Roman" w:cs="Times New Roman"/>
          <w:sz w:val="24"/>
          <w:szCs w:val="24"/>
        </w:rPr>
      </w:r>
      <w:r/>
    </w:p>
    <w:p>
      <w:pPr>
        <w:pStyle w:val="905"/>
        <w:numPr>
          <w:ilvl w:val="0"/>
          <w:numId w:val="8"/>
        </w:numPr>
        <w:pBdr/>
        <w:spacing/>
        <w:ind/>
        <w:jc w:val="left"/>
        <w:rPr/>
      </w:pPr>
      <w:r>
        <w:rPr>
          <w:rFonts w:ascii="Times New Roman" w:hAnsi="Times New Roman" w:eastAsia="Times New Roman" w:cs="Times New Roman"/>
          <w:sz w:val="24"/>
          <w:szCs w:val="24"/>
        </w:rPr>
        <w:t xml:space="preserve">Failure Attribution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router marked every failure in all 72 cells (two tasks, two encoders, 18 transfer conditions). Table IX shows what the failures are made of. Between 9.2% and 19.7% are not explained. Linguistic labels take up 8.8–12.0%. Data or model labels take up 69.0</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79.4%. Most failures are therefore described by where they happen than by a feature of the target sentence: in every target language in only one text origin on only some seeds or under a collapsed classifier. These data and model labels show a pattern; the</w:t>
      </w:r>
      <w:r>
        <w:rPr>
          <w:rFonts w:ascii="Times New Roman" w:hAnsi="Times New Roman" w:eastAsia="Times New Roman" w:cs="Times New Roman"/>
          <w:sz w:val="24"/>
          <w:szCs w:val="24"/>
        </w:rPr>
        <w:t xml:space="preserve">y do not explain a process. A manual check of 200 task-2 IndicBERT labels, 50, for each target language matched 197 (98.5%). The other three (task, encoder) cells were not checked manually.</w:t>
      </w:r>
      <w:r>
        <w:rPr>
          <w:rFonts w:ascii="Times New Roman" w:hAnsi="Times New Roman" w:eastAsia="Times New Roman" w:cs="Times New Roman"/>
          <w:sz w:val="24"/>
          <w:szCs w:val="24"/>
        </w:rPr>
      </w:r>
      <w:r/>
    </w:p>
    <w:p>
      <w:pPr>
        <w:pStyle w:val="900"/>
        <w:keepNext w:val="true"/>
        <w:pBdr/>
        <w:spacing w:after="60" w:before="120"/>
        <w:ind w:left="0"/>
        <w:jc w:val="center"/>
        <w:rPr/>
      </w:pPr>
      <w:r>
        <w:rPr>
          <w:rFonts w:ascii="Times New Roman" w:hAnsi="Times New Roman" w:eastAsia="Times New Roman" w:cs="Times New Roman"/>
          <w:sz w:val="20"/>
          <w:szCs w:val="20"/>
        </w:rPr>
        <w:t xml:space="preserve">TABLE IX. COMPOSITION OF TRANSFER FAILURES (SHARE OF FAILURES)</w:t>
      </w: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900"/>
        <w:gridCol w:w="1500"/>
        <w:gridCol w:w="1490"/>
        <w:gridCol w:w="1490"/>
        <w:gridCol w:w="1490"/>
        <w:gridCol w:w="1490"/>
      </w:tblGrid>
      <w:tr>
        <w:trPr>
          <w:tblHeader/>
        </w:trPr>
        <w:tc>
          <w:tcPr>
            <w:tcBorders>
              <w:bottom w:val="single" w:color="000000" w:sz="8" w:space="0"/>
            </w:tcBorders>
            <w:tcW w:w="1900" w:type="dxa"/>
          </w:tcPr>
          <w:p>
            <w:pPr>
              <w:pStyle w:val="900"/>
              <w:pBdr/>
              <w:spacing w:after="20" w:before="20"/>
              <w:ind w:left="0"/>
              <w:jc w:val="left"/>
              <w:rPr/>
            </w:pPr>
            <w:r>
              <w:rPr>
                <w:rFonts w:ascii="Times New Roman" w:hAnsi="Times New Roman" w:eastAsia="Times New Roman" w:cs="Times New Roman"/>
                <w:b/>
                <w:sz w:val="20"/>
                <w:szCs w:val="20"/>
              </w:rPr>
              <w:t xml:space="preserve">Cell</w:t>
            </w:r>
            <w:r/>
          </w:p>
        </w:tc>
        <w:tc>
          <w:tcPr>
            <w:tcBorders>
              <w:bottom w:val="single" w:color="000000" w:sz="8" w:space="0"/>
            </w:tcBorders>
            <w:tcW w:w="1500" w:type="dxa"/>
          </w:tcPr>
          <w:p>
            <w:pPr>
              <w:pStyle w:val="900"/>
              <w:pBdr/>
              <w:spacing w:after="20" w:before="20"/>
              <w:ind w:left="0"/>
              <w:jc w:val="center"/>
              <w:rPr/>
            </w:pPr>
            <w:r>
              <w:rPr>
                <w:rFonts w:ascii="Times New Roman" w:hAnsi="Times New Roman" w:eastAsia="Times New Roman" w:cs="Times New Roman"/>
                <w:b/>
                <w:sz w:val="20"/>
                <w:szCs w:val="20"/>
              </w:rPr>
              <w:t xml:space="preserve">Failures</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Unattributed</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Linguistic</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Data</w:t>
            </w:r>
            <w:r/>
          </w:p>
        </w:tc>
        <w:tc>
          <w:tcPr>
            <w:tcBorders>
              <w:bottom w:val="single" w:color="000000" w:sz="8" w:space="0"/>
            </w:tcBorders>
            <w:tcW w:w="1490" w:type="dxa"/>
          </w:tcPr>
          <w:p>
            <w:pPr>
              <w:pStyle w:val="900"/>
              <w:pBdr/>
              <w:spacing w:after="20" w:before="20"/>
              <w:ind w:left="0"/>
              <w:jc w:val="center"/>
              <w:rPr/>
            </w:pPr>
            <w:r>
              <w:rPr>
                <w:rFonts w:ascii="Times New Roman" w:hAnsi="Times New Roman" w:eastAsia="Times New Roman" w:cs="Times New Roman"/>
                <w:b/>
                <w:sz w:val="20"/>
                <w:szCs w:val="20"/>
              </w:rPr>
              <w:t xml:space="preserve">Model</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19,323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12.0%</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44.6%</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34.2%</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2,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9,714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19.7%</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48.3%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20.8%</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IndicBERT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6,102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8.8%</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72.2%</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7.1%</w:t>
            </w:r>
            <w:r/>
          </w:p>
        </w:tc>
      </w:tr>
      <w:tr>
        <w:trPr/>
        <w:tc>
          <w:tcPr>
            <w:tcBorders/>
            <w:tcW w:w="1900" w:type="dxa"/>
          </w:tcPr>
          <w:p>
            <w:pPr>
              <w:pStyle w:val="900"/>
              <w:pBdr/>
              <w:spacing w:after="20" w:before="20"/>
              <w:ind w:left="0"/>
              <w:jc w:val="left"/>
              <w:rPr/>
            </w:pPr>
            <w:r>
              <w:rPr>
                <w:rFonts w:ascii="Times New Roman" w:hAnsi="Times New Roman" w:eastAsia="Times New Roman" w:cs="Times New Roman"/>
                <w:sz w:val="20"/>
                <w:szCs w:val="20"/>
              </w:rPr>
              <w:t xml:space="preserve">Task 3, mBERT</w:t>
            </w:r>
            <w:r/>
          </w:p>
        </w:tc>
        <w:tc>
          <w:tcPr>
            <w:tcBorders/>
            <w:tcW w:w="1500" w:type="dxa"/>
          </w:tcPr>
          <w:p>
            <w:pPr>
              <w:pStyle w:val="900"/>
              <w:pBdr/>
              <w:spacing w:after="20" w:before="20"/>
              <w:ind w:left="0"/>
              <w:jc w:val="center"/>
              <w:rPr/>
            </w:pPr>
            <w:r>
              <w:rPr>
                <w:rFonts w:ascii="Times New Roman" w:hAnsi="Times New Roman" w:eastAsia="Times New Roman" w:cs="Times New Roman"/>
                <w:sz w:val="20"/>
                <w:szCs w:val="20"/>
              </w:rPr>
              <w:t xml:space="preserve">7,103</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14.4%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9.4%</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64.9%</w:t>
            </w:r>
            <w:r/>
          </w:p>
        </w:tc>
        <w:tc>
          <w:tcPr>
            <w:tcBorders/>
            <w:tcW w:w="1490" w:type="dxa"/>
          </w:tcPr>
          <w:p>
            <w:pPr>
              <w:pStyle w:val="900"/>
              <w:pBdr/>
              <w:spacing w:after="20" w:before="20"/>
              <w:ind w:left="0"/>
              <w:jc w:val="center"/>
              <w:rPr/>
            </w:pPr>
            <w:r>
              <w:rPr>
                <w:rFonts w:ascii="Times New Roman" w:hAnsi="Times New Roman" w:eastAsia="Times New Roman" w:cs="Times New Roman"/>
                <w:sz w:val="20"/>
                <w:szCs w:val="20"/>
              </w:rPr>
              <w:t xml:space="preserve">11.2%</w:t>
            </w:r>
            <w:r/>
          </w:p>
        </w:tc>
      </w:tr>
    </w:tbl>
    <w:p>
      <w:pPr>
        <w:pStyle w:val="900"/>
        <w:pBdr/>
        <w:spacing w:after="0"/>
        <w:ind w:left="0"/>
        <w:rPr/>
      </w:p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of the modules did not validate; I noticed that these two linguistic modules did not validate. Items with a masked term do not fail often than items with the term intact and in only 20 of 44 cells do masked items fail more often. Saliency divergence doe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separate failures from handled pairs; Saliency divergence shows an AUC of 0.48 to 0.52. Tokenizer fragmentation never fires, at most 0.5% of failures because Rfrag is rarely 2.0 or greater. Labels from these modules are reported, but Labels from these</w:t>
      </w:r>
      <w:r>
        <w:rPr>
          <w:rFonts w:ascii="Times New Roman" w:hAnsi="Times New Roman" w:eastAsia="Times New Roman" w:cs="Times New Roman"/>
          <w:sz w:val="24"/>
          <w:szCs w:val="24"/>
        </w:rPr>
        <w:t xml:space="preserve"> modules should not be read as established causes.</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f 228 group comparisons 22 meet the finding rule and of those 22 11 could be produced by a known measurement limit on its own. The remaining 11 fall into three groups. Direction for task 2: failures out of Telugu carry model‑behaviour labels than failures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nto Telugu and this is true on both encoders with IndicBERT showing 40.2% against 34.4% and mBERT showing 24.9% against 14.4%; this difference mainly comes from seed instability. Source for task 2: with Bengali and Malayalam targets Telugu‑source failures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arry model‑behaviour labels than Hindi‑source failures with Telugu‑source showing 46.8% against 18.4% and 22.0% against 14.7%. On task 3 Hindi‑source failures carry terminology_gap labels than Telugu‑source failures; however that terminology_gap label come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from a linguistic module that did not validate. Encoder: 27.3% of IndicBERT’s task‑2 failures are class collapse and class collapse never occurs with mBERT. IndicBERT also has more cross_lingual_hard failures on both tasks with IndicBERT showing 28.5% aga</w:t>
      </w:r>
      <w:r>
        <w:rPr>
          <w:rFonts w:ascii="Times New Roman" w:hAnsi="Times New Roman" w:eastAsia="Times New Roman" w:cs="Times New Roman"/>
          <w:sz w:val="24"/>
          <w:szCs w:val="24"/>
        </w:rPr>
        <w:t xml:space="preserve">inst 24.4% and 60.6% against 46.6%; in contrast mBERT’s failures are often seed_unstable with 19.0% against 6.3% and 10.5% against 5.0% and mBERT’s failures are also more often provenance_specific, with 25.5% against 15.9% and 16.6%, against 8.7%.</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indi-source failures happen often than Bengali-source failures. In task two 32.9 percent of evaluated rows with IndicBERT show failures versus 27.7 percent for Bengali. With mBERT Hindi failures are 17.0 percent compared to 13.4 percent for Bengali. Yet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mix of causes does not change the rule: Hindi fails often but not for a different reason. For machine‑translated targets, between nine point five and twenty‑five percent of failures are marked as translation_drift or provenance_specific. That is the close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t the pipeline can say that our translation caused the failure. The only differences between native and translated that satisfy the rule occur in translation_drift itself. Those are an artefact of the measurement. Τ accepts percent of human translations by</w:t>
      </w:r>
      <w:r>
        <w:rPr>
          <w:rFonts w:ascii="Times New Roman" w:hAnsi="Times New Roman" w:eastAsia="Times New Roman" w:cs="Times New Roman"/>
          <w:sz w:val="24"/>
          <w:szCs w:val="24"/>
        </w:rPr>
        <w:t xml:space="preserve"> design and LaBSE scores literal translation higher than human translation. If every comparison is repeated without the task‑3 runs that never trained twenty verdicts change,. Only one changes to or, from a finding.</w:t>
      </w:r>
      <w:r>
        <w:rPr>
          <w:rFonts w:ascii="Times New Roman" w:hAnsi="Times New Roman" w:eastAsia="Times New Roman" w:cs="Times New Roman"/>
          <w:sz w:val="24"/>
          <w:szCs w:val="24"/>
        </w:rPr>
      </w:r>
      <w:r/>
    </w:p>
    <w:p w14:paraId="22FF04D4" w14:textId="75A7056A">
      <w:pPr>
        <w:pStyle w:val="900"/>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pPr>
        <w:pStyle w:val="905"/>
        <w:numPr>
          <w:ilvl w:val="0"/>
          <w:numId w:val="9"/>
        </w:numPr>
        <w:pBdr/>
        <w:spacing/>
        <w:ind/>
        <w:jc w:val="left"/>
        <w:rPr/>
      </w:pPr>
      <w:r>
        <w:rPr>
          <w:rFonts w:ascii="Times New Roman" w:hAnsi="Times New Roman" w:eastAsia="Times New Roman" w:cs="Times New Roman"/>
          <w:sz w:val="24"/>
          <w:szCs w:val="24"/>
        </w:rPr>
        <w:t xml:space="preserve">Conclusion</w:t>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wondered whether multilingual language models keep meaning intact when knowledge moves between Indic languages. To answer this question we built a four‑way financial corpus in Hindi, Bengali, Telugu and Malayalam using IndicFinNLP. The corpus contains 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ety‑two thousand seven hundred sixty machine‑translated rows. Each row is. Flagged instead of being filtered. Every row is checked for preservation, structural integrity and semantic similarity using a threshold that was set based on human translations. Th</w:t>
      </w:r>
      <w:r>
        <w:rPr>
          <w:rFonts w:ascii="Times New Roman" w:hAnsi="Times New Roman" w:eastAsia="Times New Roman" w:cs="Times New Roman"/>
          <w:sz w:val="24"/>
          <w:szCs w:val="24"/>
        </w:rPr>
        <w:t xml:space="preserve">e independence audit that came before this work changed the design. The sustainability and ESG‑theme splits turned out to be the items, in every language. The numeral split however is independently sourced.</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inancial numerals are fragile when translated. One in six annotated numerals does not stay the same during Indic-to-Indic translation. No translation direction keeps 95% of the numerals currency symbols or percentages in a sentence. Transferring across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uages comes with a cost. Even when the content stays the same IndicBERT loses 0.26 to 0.45 in macro-F1 for sustainability classification and mBERT loses 0.11 to 0.24. Using our translations instead of native text changes the gap only slightly so the drop i</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due to the dataset. MBERT performs than IndicBERT in all twelve Hindi-source cases. The difference does not come from tokenization. For sustainability classification Hindi is the source language for both models. Here the cost mainly comes from the tar</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et language. Switching to a language costs more than switching to an Indo-Aryan one. The same pattern shows up in translation quality across all three tasks, measured by a method. The ESG-theme task, with 532 headlines, across ten classes is too small to c</w:t>
      </w:r>
      <w:r>
        <w:rPr>
          <w:rFonts w:ascii="Times New Roman" w:hAnsi="Times New Roman" w:eastAsia="Times New Roman" w:cs="Times New Roman"/>
          <w:sz w:val="24"/>
          <w:szCs w:val="24"/>
        </w:rPr>
        <w:t xml:space="preserve">ompare sources properly.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diagnostic framework labeled every failure in all 72 (task, encoder, condition) cells. The labels point out what went wrong. They don’t explain why. Linguistic labels cover 8.8 to 12.0 percent of the failures. Most of the failures are described by where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they happen. In every target language on only some seeds or under a collapsed classifier. Two linguistic modules, masking and terminology gap did not predict failure any better than guesswork. Because of that we report the size and shape of the transfer ga</w:t>
      </w:r>
      <w:r>
        <w:rPr>
          <w:rFonts w:ascii="Times New Roman" w:hAnsi="Times New Roman" w:eastAsia="Times New Roman" w:cs="Times New Roman"/>
          <w:sz w:val="24"/>
          <w:szCs w:val="24"/>
        </w:rPr>
        <w:t xml:space="preserve">p, with confidence.. We leave the causes of the transfer gap as open questions.</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everal limits bound these conclusions. Malayalam has no text so Malayalam results combine transfer difficulty with translation quality. Human verification covers a sample of 180 translated rows per task, not the corpus. LaBSE similarity ranks directions re</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iably. Labse rewards literal translation so LaBSE is not an absolute quality score. Training and evaluation share content across languages by design. The gaps measure the cost of changing language and not generalisation to unseen sentences.. A single 4 GB </w:t>
      </w:r>
      <w:r>
        <w:rPr>
          <w:rFonts w:ascii="Times New Roman" w:hAnsi="Times New Roman" w:eastAsia="Times New Roman" w:cs="Times New Roman"/>
          <w:sz w:val="24"/>
          <w:szCs w:val="24"/>
        </w:rPr>
        <w:t xml:space="preserve">GPU ruled out XLM‑R the comparison that would separate model capacity, from multilingual breadth.</w:t>
      </w:r>
      <w:r>
        <w:rPr>
          <w:rFonts w:ascii="Times New Roman" w:hAnsi="Times New Roman" w:eastAsia="Times New Roman" w:cs="Times New Roman"/>
          <w:sz w:val="24"/>
          <w:szCs w:val="24"/>
        </w:rPr>
      </w:r>
      <w:r/>
    </w:p>
    <w:p>
      <w:pPr>
        <w:pStyle w:val="905"/>
        <w:numPr>
          <w:ilvl w:val="0"/>
          <w:numId w:val="9"/>
        </w:numPr>
        <w:pBdr/>
        <w:spacing/>
        <w:ind/>
        <w:jc w:val="left"/>
        <w:rPr/>
      </w:pPr>
      <w:r>
        <w:rPr>
          <w:rFonts w:ascii="Times New Roman" w:hAnsi="Times New Roman" w:eastAsia="Times New Roman" w:cs="Times New Roman"/>
          <w:sz w:val="24"/>
          <w:szCs w:val="24"/>
        </w:rPr>
        <w:t xml:space="preserve">Future Enhancement</w:t>
      </w:r>
      <w:r/>
    </w:p>
    <w:p>
      <w:pPr>
        <w:pStyle w:val="900"/>
        <w:pBdr/>
        <w:spacing/>
        <w:ind w:firstLine="288" w:left="0"/>
        <w:jc w:val="both"/>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unning XLM‑R [13] [25] against mBERT on hardware would let us see the effect of multilingual breadth while keeping capacity the same and would decide if mBERTs better performance comes from more capacity. The BERT‑based IndicBERT‑v2 [8] would ask the question, </w:t>
      </w:r>
      <w:r>
        <w:rPr>
          <w:rFonts w:ascii="Times New Roman" w:hAnsi="Times New Roman" w:eastAsia="Times New Roman" w:cs="Times New Roman"/>
          <w:sz w:val="24"/>
          <w:szCs w:val="24"/>
        </w:rPr>
        <w:t xml:space="preserve">for an Indic‑specific model that has a full‑size transformer body.</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ative-speaker review of each target language beyond the maintainer sample would show how well the work is done. Native-speaker review can reveal more than automated checks, which only confirm that numerals, labels and script survived. A small native Malaya</w:t>
      </w:r>
      <w:r>
        <w:rPr>
          <w:rFonts w:ascii="Times New Roman" w:hAnsi="Times New Roman" w:eastAsia="Times New Roman" w:cs="Times New Roman"/>
          <w:sz w:val="24"/>
          <w:szCs w:val="24"/>
        </w:rPr>
        <w:t xml:space="preserve">lam test set would separate Malayalam transfer, from Malayalam translation.</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omparing each labels failure rate with its prediction rate would reveal whether a property makes failure more likely something that looking at failures alone cannot show. The morphology module and the terminology module need either a redesign or an interve</w:t>
      </w:r>
      <w:r>
        <w:rPr>
          <w:rFonts w:ascii="Times New Roman" w:hAnsi="Times New Roman" w:eastAsia="Times New Roman" w:cs="Times New Roman"/>
          <w:sz w:val="24"/>
          <w:szCs w:val="24"/>
        </w:rPr>
        <w:t xml:space="preserve">ntion test, such, as restoring a term and then measuring how the prediction changes. The numeral module, which was left out of this build could be rebuilt using the span annotations from task 1.</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is the one that comes from a source. If we treat detection as a transfer task we can get a measurement that does not include shared content. Training on one part of the data and evaluating on the part would give a held‑out estimate in addition, to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fixed‑content gap that is reported here. Few‑shot target‑language training [11] [15]. Translate‑train [9] [18] would show how much of the gap a small amount of target data or translated training data can recover. For the ESG‑theme task, paraphrase augment</w:t>
      </w:r>
      <w:r>
        <w:rPr>
          <w:rFonts w:ascii="Times New Roman" w:hAnsi="Times New Roman" w:eastAsia="Times New Roman" w:cs="Times New Roman"/>
          <w:sz w:val="24"/>
          <w:szCs w:val="24"/>
        </w:rPr>
        <w:t xml:space="preserve">ation, the method used by IndicFinNLP [1] would lift the task above its data ceiling.</w:t>
      </w:r>
      <w:r>
        <w:rPr>
          <w:rFonts w:ascii="Times New Roman" w:hAnsi="Times New Roman" w:eastAsia="Times New Roman" w:cs="Times New Roman"/>
          <w:sz w:val="24"/>
          <w:szCs w:val="24"/>
        </w:rPr>
      </w:r>
      <w:r/>
    </w:p>
    <w:p>
      <w:pPr>
        <w:pStyle w:val="900"/>
        <w:pBdr/>
        <w:spacing/>
        <w:ind w:firstLine="288" w:left="0"/>
        <w:jc w:val="both"/>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IndicTrans2 covers all 22 scheduled languages [21] so the pipeline can be extended to other Dravidian and Indo-Aryan languages by simply changing configuration. This will test whether the, into-Dravidian penalty remains true beyond Telugu and Malayalam.</w:t>
      </w:r>
      <w:r>
        <w:rPr>
          <w:rFonts w:ascii="Times New Roman" w:hAnsi="Times New Roman" w:eastAsia="Times New Roman" w:cs="Times New Roman"/>
          <w:sz w:val="24"/>
          <w:szCs w:val="24"/>
        </w:rPr>
      </w:r>
      <w:r/>
    </w:p>
    <w:p w14:paraId="2E15050F" w14:textId="48BFF145">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905"/>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D4D6102" w14:textId="602E6B3E">
      <w:pPr>
        <w:pStyle w:val="905"/>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r>
        <w:rPr>
          <w:lang w:val="en-US"/>
        </w:rPr>
      </w:r>
    </w:p>
    <w:p w14:paraId="6B0FEADF" w14:textId="315AB20E">
      <w:pPr>
        <w:pStyle w:val="905"/>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r>
        <w:rPr>
          <w:lang w:val="en-US"/>
        </w:rPr>
      </w:r>
    </w:p>
    <w:p w14:paraId="70323923" w14:textId="6F557B7A">
      <w:pPr>
        <w:pStyle w:val="905"/>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905"/>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905"/>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r>
        <w:rPr>
          <w:lang w:val="en-US"/>
        </w:rPr>
      </w:r>
    </w:p>
    <w:p w14:paraId="276D8896" w14:textId="726072F2">
      <w:pPr>
        <w:pStyle w:val="905"/>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r>
        <w:rPr>
          <w:lang w:val="en-US"/>
        </w:rPr>
      </w:r>
    </w:p>
    <w:p w14:paraId="4937B58B" w14:textId="7E8C2DCA">
      <w:pPr>
        <w:pStyle w:val="905"/>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905"/>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905"/>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905"/>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905"/>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905"/>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905"/>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905"/>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r>
        <w:rPr>
          <w:lang w:val="en-US"/>
        </w:rPr>
      </w:r>
    </w:p>
    <w:p w14:paraId="4A7730FE" w14:textId="384415C2">
      <w:pPr>
        <w:pStyle w:val="905"/>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905"/>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905"/>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905"/>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r>
        <w:rPr>
          <w:lang w:val="en-US"/>
        </w:rPr>
      </w:r>
    </w:p>
    <w:p w14:paraId="2F63834B" w14:textId="558D7F3F">
      <w:pPr>
        <w:pStyle w:val="905"/>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905"/>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r>
      <w:r>
        <w:rPr>
          <w:lang w:val="en-US"/>
        </w:rPr>
      </w:r>
    </w:p>
    <w:p>
      <w:pPr>
        <w:pStyle w:val="905"/>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r>
      <w:r>
        <w:rPr>
          <w:lang w:val="en-US"/>
        </w:rPr>
      </w:r>
    </w:p>
    <w:p w14:paraId="2B7E9E9D">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Wu &amp; Dredze, “Beto, Bentz, Becas: The Surprising Cross-Lingual Effectiveness of BERT,” EMNLP-IJCNLP, 2019, pp. 833–844. doi:10.18653/v1/D19-1077</w:t>
      </w:r>
      <w:r>
        <w:rPr>
          <w:highlight w:val="none"/>
          <w:lang w:val="en-US" w:bidi="en-US"/>
        </w:rPr>
      </w:r>
      <w:r>
        <w:rPr>
          <w:lang w:val="en-US"/>
        </w:rPr>
      </w:r>
    </w:p>
    <w:p w14:paraId="00EA4023">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Conneau, Rinott, Lample, Williams, Bowman, Schwenk &amp; Stoyanov, “XNLI: Evaluating Cross-lingual Sentence Representations,” EMNLP, 2018, pp. 2475–2485. doi:10.18653/v1/D18-1269</w:t>
      </w:r>
      <w:r>
        <w:rPr>
          <w:highlight w:val="none"/>
          <w:lang w:val="en-US" w:bidi="en-US"/>
        </w:rPr>
      </w:r>
      <w:r>
        <w:rPr>
          <w:lang w:val="en-US"/>
        </w:rPr>
      </w:r>
    </w:p>
    <w:p w14:paraId="3A9E4D1B">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Artetxe, Ruder &amp; Yogatama, “On the Cross-lingual Transferability of Monolingual Representations,” ACL, 2020, pp. 4623–4637. doi:10.18653/v1/2020.acl-main.421</w:t>
      </w:r>
      <w:r>
        <w:rPr>
          <w:highlight w:val="none"/>
          <w:lang w:val="en-US" w:bidi="en-US"/>
        </w:rPr>
      </w:r>
      <w:r>
        <w:rPr>
          <w:lang w:val="en-US"/>
        </w:rPr>
      </w:r>
    </w:p>
    <w:p w14:paraId="0AB818D6">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Joshi, Santy, Budhiraja, Bali &amp; Choudhury, “The State and Fate of Linguistic Diversity and Inclusion in the NLP World,” ACL, 2020, pp. 6282–6293. doi:10.18653/v1/2020.acl-main.560</w:t>
      </w:r>
      <w:r>
        <w:rPr>
          <w:highlight w:val="none"/>
          <w:lang w:val="en-US" w:bidi="en-US"/>
        </w:rPr>
      </w:r>
      <w:r>
        <w:rPr>
          <w:lang w:val="en-US"/>
        </w:rPr>
      </w:r>
    </w:p>
    <w:p w14:paraId="5B70CC0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Libovický, Rosa &amp; Fraser, “On the Language Neutrality of Pre-trained Multilingual Representations,” Findings of EMNLP, 2020, pp. 1663–1674. doi:10.18653/v1/2020.findings-emnlp.150</w:t>
      </w:r>
      <w:r>
        <w:rPr>
          <w:highlight w:val="none"/>
          <w:lang w:val="en-US" w:bidi="en-US"/>
        </w:rPr>
      </w:r>
      <w:r>
        <w:rPr>
          <w:lang w:val="en-US"/>
        </w:rPr>
      </w:r>
    </w:p>
    <w:p w14:paraId="50311EBE">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Rust, Pfeiffer, Vulić, Ruder &amp; Gurevych, “How Good is Your Tokenizer? On the Monolingual Performance of Multilingual Language Models,” ACL-IJCNLP, 2021, pp. 3118–3135. doi:10.18653/v1/2021.acl-long.243</w:t>
      </w:r>
      <w:r>
        <w:rPr>
          <w:highlight w:val="none"/>
          <w:lang w:val="en-US" w:bidi="en-US"/>
        </w:rPr>
      </w:r>
      <w:r>
        <w:rPr>
          <w:lang w:val="en-US"/>
        </w:rPr>
      </w:r>
    </w:p>
    <w:p w14:paraId="44CA3A07">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Ruder, Constant, Botha, Siddhant, Firat, Fu, Liu, Hu, Garrette, Neubig &amp; Johnson, “XTREME-R: Towards More Challenging and Nuanced Multilingual Evaluation,” EMNLP, 2021, pp. 10215–10245. doi:10.18653/v1/2021.emnlp-main.802</w:t>
      </w:r>
      <w:r>
        <w:rPr>
          <w:highlight w:val="none"/>
          <w:lang w:val="en-US" w:bidi="en-US"/>
        </w:rPr>
      </w:r>
      <w:r>
        <w:rPr>
          <w:lang w:val="en-US"/>
        </w:rPr>
      </w:r>
    </w:p>
    <w:p w14:paraId="4C94F06C">
      <w:pPr>
        <w:pStyle w:val="905"/>
        <w:numPr>
          <w:ilvl w:val="0"/>
          <w:numId w:val="3"/>
        </w:numPr>
        <w:pBdr/>
        <w:spacing w:after="240" w:afterAutospacing="0" w:before="240" w:beforeAutospacing="0"/>
        <w:ind/>
        <w:rPr>
          <w:lang w:val="en-US"/>
        </w:rPr>
      </w:pPr>
      <w:r>
        <w:rPr>
          <w:highlight w:val="none"/>
          <w:lang w:val="en-US" w:bidi="en-US"/>
        </w:rPr>
      </w:r>
      <w:r>
        <w:rPr>
          <w:highlight w:val="none"/>
          <w:lang w:val="en-US" w:bidi="en-US"/>
        </w:rPr>
        <w:t xml:space="preserve">Shah, Chawla, Eidnani, Shah, Du, Chava, Raman, Smiley, Chen &amp; Yang, “When FLUE Meets FLANG: Benchmarks and Large Pretrained Language Model for Financial Domain,” EMNLP, 2022, pp. 2322–2335. doi:10.18653/v1/2022.emnlp-main.148</w:t>
      </w:r>
      <w:r>
        <w:rPr>
          <w:highlight w:val="none"/>
          <w:lang w:val="en-US" w:bidi="en-US"/>
        </w:rPr>
      </w:r>
      <w:r>
        <w:rPr>
          <w:highlight w:val="none"/>
          <w:lang w:val="en-US" w:bidi="en-US"/>
        </w:rPr>
      </w:r>
      <w:r>
        <w:rPr>
          <w:highlight w:val="none"/>
          <w:lang w:val="en-US" w:bidi="en-US"/>
        </w:rPr>
      </w:r>
    </w:p>
    <w:p w14:paraId="753F6CA8" w14:textId="4BB2DDA7">
      <w:pPr>
        <w:pStyle w:val="900"/>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6">
    <w:name w:val="Table Grid"/>
    <w:basedOn w:val="9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6">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7">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8">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9">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0">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1">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2"/>
    <w:basedOn w:val="900"/>
    <w:next w:val="900"/>
    <w:link w:val="8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name w:val="Heading 1 Char"/>
    <w:basedOn w:val="901"/>
    <w:link w:val="904"/>
    <w:uiPriority w:val="9"/>
    <w:pPr>
      <w:pBdr/>
      <w:spacing/>
      <w:ind/>
    </w:pPr>
    <w:rPr>
      <w:rFonts w:ascii="Arial" w:hAnsi="Arial" w:eastAsia="Arial" w:cs="Arial"/>
      <w:color w:val="0f4761" w:themeColor="accent1" w:themeShade="BF"/>
      <w:sz w:val="40"/>
      <w:szCs w:val="40"/>
    </w:rPr>
  </w:style>
  <w:style w:type="character" w:styleId="851">
    <w:name w:val="Heading 2 Char"/>
    <w:basedOn w:val="901"/>
    <w:link w:val="842"/>
    <w:uiPriority w:val="9"/>
    <w:pPr>
      <w:pBdr/>
      <w:spacing/>
      <w:ind/>
    </w:pPr>
    <w:rPr>
      <w:rFonts w:ascii="Arial" w:hAnsi="Arial" w:eastAsia="Arial" w:cs="Arial"/>
      <w:color w:val="0f4761" w:themeColor="accent1" w:themeShade="BF"/>
      <w:sz w:val="32"/>
      <w:szCs w:val="32"/>
    </w:rPr>
  </w:style>
  <w:style w:type="character" w:styleId="852">
    <w:name w:val="Heading 3 Char"/>
    <w:basedOn w:val="901"/>
    <w:link w:val="843"/>
    <w:uiPriority w:val="9"/>
    <w:pPr>
      <w:pBdr/>
      <w:spacing/>
      <w:ind/>
    </w:pPr>
    <w:rPr>
      <w:rFonts w:ascii="Arial" w:hAnsi="Arial" w:eastAsia="Arial" w:cs="Arial"/>
      <w:color w:val="0f4761" w:themeColor="accent1" w:themeShade="BF"/>
      <w:sz w:val="28"/>
      <w:szCs w:val="28"/>
    </w:rPr>
  </w:style>
  <w:style w:type="character" w:styleId="853">
    <w:name w:val="Heading 4 Char"/>
    <w:basedOn w:val="901"/>
    <w:link w:val="844"/>
    <w:uiPriority w:val="9"/>
    <w:pPr>
      <w:pBdr/>
      <w:spacing/>
      <w:ind/>
    </w:pPr>
    <w:rPr>
      <w:rFonts w:ascii="Arial" w:hAnsi="Arial" w:eastAsia="Arial" w:cs="Arial"/>
      <w:i/>
      <w:iCs/>
      <w:color w:val="0f4761" w:themeColor="accent1" w:themeShade="BF"/>
    </w:rPr>
  </w:style>
  <w:style w:type="character" w:styleId="854">
    <w:name w:val="Heading 5 Char"/>
    <w:basedOn w:val="901"/>
    <w:link w:val="845"/>
    <w:uiPriority w:val="9"/>
    <w:pPr>
      <w:pBdr/>
      <w:spacing/>
      <w:ind/>
    </w:pPr>
    <w:rPr>
      <w:rFonts w:ascii="Arial" w:hAnsi="Arial" w:eastAsia="Arial" w:cs="Arial"/>
      <w:color w:val="0f4761" w:themeColor="accent1" w:themeShade="BF"/>
    </w:rPr>
  </w:style>
  <w:style w:type="character" w:styleId="855">
    <w:name w:val="Heading 6 Char"/>
    <w:basedOn w:val="901"/>
    <w:link w:val="846"/>
    <w:uiPriority w:val="9"/>
    <w:pPr>
      <w:pBdr/>
      <w:spacing/>
      <w:ind/>
    </w:pPr>
    <w:rPr>
      <w:rFonts w:ascii="Arial" w:hAnsi="Arial" w:eastAsia="Arial" w:cs="Arial"/>
      <w:i/>
      <w:iCs/>
      <w:color w:val="595959" w:themeColor="text1" w:themeTint="A6"/>
    </w:rPr>
  </w:style>
  <w:style w:type="character" w:styleId="856">
    <w:name w:val="Heading 7 Char"/>
    <w:basedOn w:val="901"/>
    <w:link w:val="847"/>
    <w:uiPriority w:val="9"/>
    <w:pPr>
      <w:pBdr/>
      <w:spacing/>
      <w:ind/>
    </w:pPr>
    <w:rPr>
      <w:rFonts w:ascii="Arial" w:hAnsi="Arial" w:eastAsia="Arial" w:cs="Arial"/>
      <w:color w:val="595959" w:themeColor="text1" w:themeTint="A6"/>
    </w:rPr>
  </w:style>
  <w:style w:type="character" w:styleId="857">
    <w:name w:val="Heading 8 Char"/>
    <w:basedOn w:val="901"/>
    <w:link w:val="848"/>
    <w:uiPriority w:val="9"/>
    <w:pPr>
      <w:pBdr/>
      <w:spacing/>
      <w:ind/>
    </w:pPr>
    <w:rPr>
      <w:rFonts w:ascii="Arial" w:hAnsi="Arial" w:eastAsia="Arial" w:cs="Arial"/>
      <w:i/>
      <w:iCs/>
      <w:color w:val="272727" w:themeColor="text1" w:themeTint="D8"/>
    </w:rPr>
  </w:style>
  <w:style w:type="character" w:styleId="858">
    <w:name w:val="Heading 9 Char"/>
    <w:basedOn w:val="901"/>
    <w:link w:val="849"/>
    <w:uiPriority w:val="9"/>
    <w:pPr>
      <w:pBdr/>
      <w:spacing/>
      <w:ind/>
    </w:pPr>
    <w:rPr>
      <w:rFonts w:ascii="Arial" w:hAnsi="Arial" w:eastAsia="Arial" w:cs="Arial"/>
      <w:i/>
      <w:iCs/>
      <w:color w:val="272727" w:themeColor="text1" w:themeTint="D8"/>
    </w:rPr>
  </w:style>
  <w:style w:type="paragraph" w:styleId="859">
    <w:name w:val="Title"/>
    <w:basedOn w:val="900"/>
    <w:next w:val="900"/>
    <w:link w:val="860"/>
    <w:uiPriority w:val="10"/>
    <w:qFormat/>
    <w:pPr>
      <w:pBdr/>
      <w:spacing w:after="80" w:line="240" w:lineRule="auto"/>
      <w:ind/>
      <w:contextualSpacing w:val="true"/>
    </w:pPr>
    <w:rPr>
      <w:rFonts w:ascii="Arial" w:hAnsi="Arial" w:eastAsia="Arial" w:cs="Arial"/>
      <w:spacing w:val="-10"/>
      <w:sz w:val="56"/>
      <w:szCs w:val="56"/>
    </w:rPr>
  </w:style>
  <w:style w:type="character" w:styleId="860">
    <w:name w:val="Title Char"/>
    <w:basedOn w:val="901"/>
    <w:link w:val="859"/>
    <w:uiPriority w:val="10"/>
    <w:pPr>
      <w:pBdr/>
      <w:spacing/>
      <w:ind/>
    </w:pPr>
    <w:rPr>
      <w:rFonts w:ascii="Arial" w:hAnsi="Arial" w:eastAsia="Arial" w:cs="Arial"/>
      <w:spacing w:val="-10"/>
      <w:sz w:val="56"/>
      <w:szCs w:val="56"/>
    </w:rPr>
  </w:style>
  <w:style w:type="paragraph" w:styleId="861">
    <w:name w:val="Subtitle"/>
    <w:basedOn w:val="900"/>
    <w:next w:val="900"/>
    <w:link w:val="862"/>
    <w:uiPriority w:val="11"/>
    <w:qFormat/>
    <w:pPr>
      <w:numPr>
        <w:ilvl w:val="1"/>
      </w:numPr>
      <w:pBdr/>
      <w:spacing/>
      <w:ind/>
    </w:pPr>
    <w:rPr>
      <w:color w:val="595959" w:themeColor="text1" w:themeTint="A6"/>
      <w:spacing w:val="15"/>
      <w:sz w:val="28"/>
      <w:szCs w:val="28"/>
    </w:rPr>
  </w:style>
  <w:style w:type="character" w:styleId="862">
    <w:name w:val="Subtitle Char"/>
    <w:basedOn w:val="901"/>
    <w:link w:val="861"/>
    <w:uiPriority w:val="11"/>
    <w:pPr>
      <w:pBdr/>
      <w:spacing/>
      <w:ind/>
    </w:pPr>
    <w:rPr>
      <w:color w:val="595959" w:themeColor="text1" w:themeTint="A6"/>
      <w:spacing w:val="15"/>
      <w:sz w:val="28"/>
      <w:szCs w:val="28"/>
    </w:rPr>
  </w:style>
  <w:style w:type="paragraph" w:styleId="863">
    <w:name w:val="Quote"/>
    <w:basedOn w:val="900"/>
    <w:next w:val="900"/>
    <w:link w:val="864"/>
    <w:uiPriority w:val="29"/>
    <w:qFormat/>
    <w:pPr>
      <w:pBdr/>
      <w:spacing w:before="160"/>
      <w:ind/>
      <w:jc w:val="center"/>
    </w:pPr>
    <w:rPr>
      <w:i/>
      <w:iCs/>
      <w:color w:val="404040" w:themeColor="text1" w:themeTint="BF"/>
    </w:rPr>
  </w:style>
  <w:style w:type="character" w:styleId="864">
    <w:name w:val="Quote Char"/>
    <w:basedOn w:val="901"/>
    <w:link w:val="863"/>
    <w:uiPriority w:val="29"/>
    <w:pPr>
      <w:pBdr/>
      <w:spacing/>
      <w:ind/>
    </w:pPr>
    <w:rPr>
      <w:i/>
      <w:iCs/>
      <w:color w:val="404040" w:themeColor="text1" w:themeTint="BF"/>
    </w:rPr>
  </w:style>
  <w:style w:type="character" w:styleId="865">
    <w:name w:val="Intense Emphasis"/>
    <w:basedOn w:val="901"/>
    <w:uiPriority w:val="21"/>
    <w:qFormat/>
    <w:pPr>
      <w:pBdr/>
      <w:spacing/>
      <w:ind/>
    </w:pPr>
    <w:rPr>
      <w:i/>
      <w:iCs/>
      <w:color w:val="0f4761" w:themeColor="accent1" w:themeShade="BF"/>
    </w:rPr>
  </w:style>
  <w:style w:type="paragraph" w:styleId="866">
    <w:name w:val="Intense Quote"/>
    <w:basedOn w:val="900"/>
    <w:next w:val="900"/>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1"/>
    <w:link w:val="866"/>
    <w:uiPriority w:val="30"/>
    <w:pPr>
      <w:pBdr/>
      <w:spacing/>
      <w:ind/>
    </w:pPr>
    <w:rPr>
      <w:i/>
      <w:iCs/>
      <w:color w:val="0f4761" w:themeColor="accent1" w:themeShade="BF"/>
    </w:rPr>
  </w:style>
  <w:style w:type="character" w:styleId="868">
    <w:name w:val="Intense Reference"/>
    <w:basedOn w:val="901"/>
    <w:uiPriority w:val="32"/>
    <w:qFormat/>
    <w:pPr>
      <w:pBdr/>
      <w:spacing/>
      <w:ind/>
    </w:pPr>
    <w:rPr>
      <w:b/>
      <w:bCs/>
      <w:smallCaps/>
      <w:color w:val="0f4761" w:themeColor="accent1" w:themeShade="BF"/>
      <w:spacing w:val="5"/>
    </w:rPr>
  </w:style>
  <w:style w:type="paragraph" w:styleId="869">
    <w:name w:val="No Spacing"/>
    <w:basedOn w:val="900"/>
    <w:uiPriority w:val="1"/>
    <w:qFormat/>
    <w:pPr>
      <w:pBdr/>
      <w:spacing w:after="0" w:line="240" w:lineRule="auto"/>
      <w:ind/>
    </w:pPr>
  </w:style>
  <w:style w:type="character" w:styleId="870">
    <w:name w:val="Subtle Emphasis"/>
    <w:basedOn w:val="901"/>
    <w:uiPriority w:val="19"/>
    <w:qFormat/>
    <w:pPr>
      <w:pBdr/>
      <w:spacing/>
      <w:ind/>
    </w:pPr>
    <w:rPr>
      <w:i/>
      <w:iCs/>
      <w:color w:val="404040" w:themeColor="text1" w:themeTint="BF"/>
    </w:rPr>
  </w:style>
  <w:style w:type="character" w:styleId="871">
    <w:name w:val="Emphasis"/>
    <w:basedOn w:val="901"/>
    <w:uiPriority w:val="20"/>
    <w:qFormat/>
    <w:pPr>
      <w:pBdr/>
      <w:spacing/>
      <w:ind/>
    </w:pPr>
    <w:rPr>
      <w:i/>
      <w:iCs/>
    </w:rPr>
  </w:style>
  <w:style w:type="character" w:styleId="872">
    <w:name w:val="Strong"/>
    <w:basedOn w:val="901"/>
    <w:uiPriority w:val="22"/>
    <w:qFormat/>
    <w:pPr>
      <w:pBdr/>
      <w:spacing/>
      <w:ind/>
    </w:pPr>
    <w:rPr>
      <w:b/>
      <w:bCs/>
    </w:rPr>
  </w:style>
  <w:style w:type="character" w:styleId="873">
    <w:name w:val="Subtle Reference"/>
    <w:basedOn w:val="901"/>
    <w:uiPriority w:val="31"/>
    <w:qFormat/>
    <w:pPr>
      <w:pBdr/>
      <w:spacing/>
      <w:ind/>
    </w:pPr>
    <w:rPr>
      <w:smallCaps/>
      <w:color w:val="5a5a5a" w:themeColor="text1" w:themeTint="A5"/>
    </w:rPr>
  </w:style>
  <w:style w:type="character" w:styleId="874">
    <w:name w:val="Book Title"/>
    <w:basedOn w:val="901"/>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901"/>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901"/>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901"/>
    <w:link w:val="880"/>
    <w:uiPriority w:val="99"/>
    <w:semiHidden/>
    <w:pPr>
      <w:pBdr/>
      <w:spacing/>
      <w:ind/>
    </w:pPr>
    <w:rPr>
      <w:sz w:val="20"/>
      <w:szCs w:val="20"/>
    </w:rPr>
  </w:style>
  <w:style w:type="character" w:styleId="882">
    <w:name w:val="footnote reference"/>
    <w:basedOn w:val="901"/>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901"/>
    <w:link w:val="883"/>
    <w:uiPriority w:val="99"/>
    <w:semiHidden/>
    <w:pPr>
      <w:pBdr/>
      <w:spacing/>
      <w:ind/>
    </w:pPr>
    <w:rPr>
      <w:sz w:val="20"/>
      <w:szCs w:val="20"/>
    </w:rPr>
  </w:style>
  <w:style w:type="character" w:styleId="885">
    <w:name w:val="endnote reference"/>
    <w:basedOn w:val="901"/>
    <w:uiPriority w:val="99"/>
    <w:semiHidden/>
    <w:unhideWhenUsed/>
    <w:pPr>
      <w:pBdr/>
      <w:spacing/>
      <w:ind/>
    </w:pPr>
    <w:rPr>
      <w:vertAlign w:val="superscript"/>
    </w:rPr>
  </w:style>
  <w:style w:type="character" w:styleId="886">
    <w:name w:val="Hyperlink"/>
    <w:basedOn w:val="901"/>
    <w:uiPriority w:val="99"/>
    <w:unhideWhenUsed/>
    <w:pPr>
      <w:pBdr/>
      <w:spacing/>
      <w:ind/>
    </w:pPr>
    <w:rPr>
      <w:color w:val="0563c1" w:themeColor="hyperlink"/>
      <w:u w:val="single"/>
    </w:rPr>
  </w:style>
  <w:style w:type="character" w:styleId="887">
    <w:name w:val="FollowedHyperlink"/>
    <w:basedOn w:val="901"/>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901"/>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character" w:styleId="901" w:default="1">
    <w:name w:val="Default Paragraph Font"/>
    <w:uiPriority w:val="1"/>
    <w:semiHidden/>
    <w:unhideWhenUsed/>
    <w:pPr>
      <w:pBdr/>
      <w:spacing/>
      <w:ind/>
    </w:pPr>
  </w:style>
  <w:style w:type="table" w:styleId="9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Heading 1"/>
    <w:basedOn w:val="900"/>
    <w:next w:val="900"/>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905">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4</cp:revision>
  <dcterms:modified xsi:type="dcterms:W3CDTF">2026-10-15T13:52:59Z</dcterms:modified>
</cp:coreProperties>
</file>