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6C185" w14:textId="71CFD4C8" w:rsidR="003F5E1F" w:rsidRDefault="003F5E1F" w:rsidP="003F5E1F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</w:p>
    <w:p w14:paraId="0899791D" w14:textId="1086E622" w:rsidR="003F5E1F" w:rsidRPr="00E85C89" w:rsidRDefault="00960A9D" w:rsidP="009B0527">
      <w:pPr>
        <w:pStyle w:val="IntenseQuote"/>
        <w:rPr>
          <w:rFonts w:cstheme="minorHAnsi"/>
          <w:b/>
          <w:bCs/>
          <w:sz w:val="32"/>
          <w:szCs w:val="32"/>
        </w:rPr>
      </w:pPr>
      <w:r w:rsidRPr="00E85C89">
        <w:rPr>
          <w:rFonts w:cstheme="minorHAnsi"/>
          <w:b/>
          <w:bCs/>
          <w:sz w:val="32"/>
          <w:szCs w:val="32"/>
        </w:rPr>
        <w:t>Admission Policy</w:t>
      </w:r>
    </w:p>
    <w:p w14:paraId="2B4B9C25" w14:textId="1CF17853" w:rsidR="006B4382" w:rsidRDefault="006B4382" w:rsidP="006B4382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CD95F58" w14:textId="48D1D4BC" w:rsidR="0088626A" w:rsidRDefault="0088626A" w:rsidP="00267EF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Scope</w:t>
      </w:r>
    </w:p>
    <w:p w14:paraId="6B0214F1" w14:textId="686D35EF" w:rsidR="0088626A" w:rsidRPr="0088626A" w:rsidRDefault="0088626A" w:rsidP="0088626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policy is applicable to all services operated by</w:t>
      </w:r>
      <w:r w:rsidR="008D400E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Omega Care Group. </w:t>
      </w:r>
      <w:r w:rsidR="00F31D92">
        <w:rPr>
          <w:rFonts w:ascii="Arial" w:hAnsi="Arial" w:cs="Arial"/>
          <w:sz w:val="24"/>
          <w:szCs w:val="24"/>
        </w:rPr>
        <w:t xml:space="preserve"> </w:t>
      </w:r>
    </w:p>
    <w:p w14:paraId="0FBFF6A3" w14:textId="536B77A2" w:rsidR="00267EFC" w:rsidRPr="00267EFC" w:rsidRDefault="00267EFC" w:rsidP="00267EF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67EFC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</w:t>
      </w:r>
      <w:r w:rsidR="004857F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URPOSE</w:t>
      </w:r>
    </w:p>
    <w:p w14:paraId="7BF721BC" w14:textId="34D5C3D9" w:rsidR="00267EFC" w:rsidRDefault="00C75C23" w:rsidP="00267EFC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267EFC">
        <w:rPr>
          <w:rFonts w:ascii="Arial" w:hAnsi="Arial" w:cs="Arial"/>
          <w:sz w:val="24"/>
          <w:szCs w:val="24"/>
        </w:rPr>
        <w:t xml:space="preserve">Omega Care Group </w:t>
      </w:r>
      <w:r w:rsidR="00960A9D" w:rsidRPr="00267EFC">
        <w:rPr>
          <w:rFonts w:ascii="Arial" w:hAnsi="Arial" w:cs="Arial"/>
          <w:sz w:val="24"/>
          <w:szCs w:val="24"/>
        </w:rPr>
        <w:t xml:space="preserve">believes every child and young person has the right to reach their fullest potential and </w:t>
      </w:r>
      <w:r w:rsidR="000425E0" w:rsidRPr="00267EFC">
        <w:rPr>
          <w:rFonts w:ascii="Arial" w:hAnsi="Arial" w:cs="Arial"/>
          <w:sz w:val="24"/>
          <w:szCs w:val="24"/>
        </w:rPr>
        <w:t xml:space="preserve">places significance on placement matching to achieving meaningful and sustainable placements. </w:t>
      </w:r>
    </w:p>
    <w:p w14:paraId="07C72FCB" w14:textId="77777777" w:rsidR="008C0066" w:rsidRDefault="008C0066" w:rsidP="008C0066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4A62D51A" w14:textId="08537DD0" w:rsidR="009A62B9" w:rsidRPr="00267EFC" w:rsidRDefault="009A62B9" w:rsidP="00267EFC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267EFC">
        <w:rPr>
          <w:rFonts w:ascii="Arial" w:hAnsi="Arial" w:cs="Arial"/>
          <w:sz w:val="24"/>
          <w:szCs w:val="24"/>
        </w:rPr>
        <w:t xml:space="preserve">To work in accordance </w:t>
      </w:r>
      <w:r w:rsidR="00E85C89" w:rsidRPr="00267EFC">
        <w:rPr>
          <w:rFonts w:ascii="Arial" w:hAnsi="Arial" w:cs="Arial"/>
          <w:sz w:val="24"/>
          <w:szCs w:val="24"/>
        </w:rPr>
        <w:t>with</w:t>
      </w:r>
      <w:r w:rsidRPr="00267EFC">
        <w:rPr>
          <w:rFonts w:ascii="Arial" w:hAnsi="Arial" w:cs="Arial"/>
          <w:sz w:val="24"/>
          <w:szCs w:val="24"/>
        </w:rPr>
        <w:t xml:space="preserve"> Omega Care Group Mission Statement:</w:t>
      </w:r>
    </w:p>
    <w:p w14:paraId="6CD95645" w14:textId="77777777" w:rsidR="009A62B9" w:rsidRDefault="009A62B9" w:rsidP="009A62B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F876214" w14:textId="07CA9FEA" w:rsidR="009A62B9" w:rsidRPr="009A62B9" w:rsidRDefault="009A62B9" w:rsidP="009A62B9">
      <w:pPr>
        <w:spacing w:after="0"/>
        <w:ind w:left="144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A62B9">
        <w:rPr>
          <w:rFonts w:ascii="Arial" w:hAnsi="Arial" w:cs="Arial"/>
          <w:b/>
          <w:bCs/>
          <w:i/>
          <w:iCs/>
          <w:sz w:val="24"/>
          <w:szCs w:val="24"/>
        </w:rPr>
        <w:t>Growth through potential, valued, nurtured,</w:t>
      </w:r>
    </w:p>
    <w:p w14:paraId="27433234" w14:textId="0B543594" w:rsidR="00267EFC" w:rsidRDefault="009A62B9" w:rsidP="00267EFC">
      <w:pPr>
        <w:spacing w:after="0"/>
        <w:ind w:left="144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A62B9">
        <w:rPr>
          <w:rFonts w:ascii="Arial" w:hAnsi="Arial" w:cs="Arial"/>
          <w:b/>
          <w:bCs/>
          <w:i/>
          <w:iCs/>
          <w:sz w:val="24"/>
          <w:szCs w:val="24"/>
        </w:rPr>
        <w:t>realised roots for the future.</w:t>
      </w:r>
    </w:p>
    <w:p w14:paraId="38983220" w14:textId="77777777" w:rsidR="00267EFC" w:rsidRDefault="00267EFC" w:rsidP="00267EFC">
      <w:pPr>
        <w:spacing w:after="0"/>
        <w:ind w:left="144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A63FF24" w14:textId="66C5F6BA" w:rsidR="00267EFC" w:rsidRDefault="00FD15D2" w:rsidP="00267EFC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267EFC">
        <w:rPr>
          <w:rFonts w:ascii="Arial" w:hAnsi="Arial" w:cs="Arial"/>
          <w:sz w:val="24"/>
          <w:szCs w:val="24"/>
        </w:rPr>
        <w:t xml:space="preserve">To ensure all Children and Young People who are admitted to any of Omega Care Group </w:t>
      </w:r>
      <w:r w:rsidR="0088626A">
        <w:rPr>
          <w:rFonts w:ascii="Arial" w:hAnsi="Arial" w:cs="Arial"/>
          <w:sz w:val="24"/>
          <w:szCs w:val="24"/>
        </w:rPr>
        <w:t xml:space="preserve">homes </w:t>
      </w:r>
      <w:r w:rsidRPr="00267EFC">
        <w:rPr>
          <w:rFonts w:ascii="Arial" w:hAnsi="Arial" w:cs="Arial"/>
          <w:sz w:val="24"/>
          <w:szCs w:val="24"/>
        </w:rPr>
        <w:t xml:space="preserve">are within the remit of the intention and purpose of the home parameters to provide care and accommodation, as outlined within each individual </w:t>
      </w:r>
      <w:r w:rsidR="008D400E">
        <w:rPr>
          <w:rFonts w:ascii="Arial" w:hAnsi="Arial" w:cs="Arial"/>
          <w:sz w:val="24"/>
          <w:szCs w:val="24"/>
        </w:rPr>
        <w:t>c</w:t>
      </w:r>
      <w:r w:rsidR="008D400E" w:rsidRPr="00267EFC">
        <w:rPr>
          <w:rFonts w:ascii="Arial" w:hAnsi="Arial" w:cs="Arial"/>
          <w:sz w:val="24"/>
          <w:szCs w:val="24"/>
        </w:rPr>
        <w:t>hildren</w:t>
      </w:r>
      <w:r w:rsidRPr="00267EFC">
        <w:rPr>
          <w:rFonts w:ascii="Arial" w:hAnsi="Arial" w:cs="Arial"/>
          <w:sz w:val="24"/>
          <w:szCs w:val="24"/>
        </w:rPr>
        <w:t xml:space="preserve"> </w:t>
      </w:r>
      <w:r w:rsidR="008C0066">
        <w:rPr>
          <w:rFonts w:ascii="Arial" w:hAnsi="Arial" w:cs="Arial"/>
          <w:sz w:val="24"/>
          <w:szCs w:val="24"/>
        </w:rPr>
        <w:t>h</w:t>
      </w:r>
      <w:r w:rsidRPr="00267EFC">
        <w:rPr>
          <w:rFonts w:ascii="Arial" w:hAnsi="Arial" w:cs="Arial"/>
          <w:sz w:val="24"/>
          <w:szCs w:val="24"/>
        </w:rPr>
        <w:t>ome</w:t>
      </w:r>
      <w:r w:rsidR="008C0066">
        <w:rPr>
          <w:rFonts w:ascii="Arial" w:hAnsi="Arial" w:cs="Arial"/>
          <w:sz w:val="24"/>
          <w:szCs w:val="24"/>
        </w:rPr>
        <w:t>’</w:t>
      </w:r>
      <w:r w:rsidR="008D400E">
        <w:rPr>
          <w:rFonts w:ascii="Arial" w:hAnsi="Arial" w:cs="Arial"/>
          <w:sz w:val="24"/>
          <w:szCs w:val="24"/>
        </w:rPr>
        <w:t>s</w:t>
      </w:r>
      <w:r w:rsidRPr="00267EFC">
        <w:rPr>
          <w:rFonts w:ascii="Arial" w:hAnsi="Arial" w:cs="Arial"/>
          <w:sz w:val="24"/>
          <w:szCs w:val="24"/>
        </w:rPr>
        <w:t xml:space="preserve"> </w:t>
      </w:r>
      <w:r w:rsidR="008D400E">
        <w:rPr>
          <w:rFonts w:ascii="Arial" w:hAnsi="Arial" w:cs="Arial"/>
          <w:sz w:val="24"/>
          <w:szCs w:val="24"/>
        </w:rPr>
        <w:t>‘</w:t>
      </w:r>
      <w:r w:rsidRPr="00267EFC">
        <w:rPr>
          <w:rFonts w:ascii="Arial" w:hAnsi="Arial" w:cs="Arial"/>
          <w:sz w:val="24"/>
          <w:szCs w:val="24"/>
        </w:rPr>
        <w:t>Statement of Purpose</w:t>
      </w:r>
      <w:r w:rsidR="000D6F14">
        <w:rPr>
          <w:rFonts w:ascii="Arial" w:hAnsi="Arial" w:cs="Arial"/>
          <w:sz w:val="24"/>
          <w:szCs w:val="24"/>
        </w:rPr>
        <w:t xml:space="preserve"> (SOP)</w:t>
      </w:r>
      <w:r w:rsidR="008D400E">
        <w:rPr>
          <w:rFonts w:ascii="Arial" w:hAnsi="Arial" w:cs="Arial"/>
          <w:sz w:val="24"/>
          <w:szCs w:val="24"/>
        </w:rPr>
        <w:t>’</w:t>
      </w:r>
      <w:r w:rsidR="0088626A">
        <w:rPr>
          <w:rFonts w:ascii="Arial" w:hAnsi="Arial" w:cs="Arial"/>
          <w:sz w:val="24"/>
          <w:szCs w:val="24"/>
        </w:rPr>
        <w:t xml:space="preserve"> and the remit of the 16 plus SOP. </w:t>
      </w:r>
    </w:p>
    <w:p w14:paraId="1A9A3482" w14:textId="77777777" w:rsidR="008C0066" w:rsidRPr="00267EFC" w:rsidRDefault="008C0066" w:rsidP="008C0066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42A8B2BA" w14:textId="19685EDA" w:rsidR="00960A9D" w:rsidRDefault="00C63F9B" w:rsidP="00267EFC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267EFC">
        <w:rPr>
          <w:rFonts w:ascii="Arial" w:hAnsi="Arial" w:cs="Arial"/>
          <w:sz w:val="24"/>
          <w:szCs w:val="24"/>
        </w:rPr>
        <w:t>To embed, facilitate and evolve coherent and robust</w:t>
      </w:r>
      <w:r w:rsidR="000D6F14">
        <w:rPr>
          <w:rFonts w:ascii="Arial" w:hAnsi="Arial" w:cs="Arial"/>
          <w:sz w:val="24"/>
          <w:szCs w:val="24"/>
        </w:rPr>
        <w:t xml:space="preserve"> child focused </w:t>
      </w:r>
      <w:r w:rsidR="000D6F14" w:rsidRPr="00267EFC">
        <w:rPr>
          <w:rFonts w:ascii="Arial" w:hAnsi="Arial" w:cs="Arial"/>
          <w:sz w:val="24"/>
          <w:szCs w:val="24"/>
        </w:rPr>
        <w:t>infrastructures</w:t>
      </w:r>
      <w:r w:rsidR="000D6F14">
        <w:rPr>
          <w:rFonts w:ascii="Arial" w:hAnsi="Arial" w:cs="Arial"/>
          <w:sz w:val="24"/>
          <w:szCs w:val="24"/>
        </w:rPr>
        <w:t>,</w:t>
      </w:r>
      <w:r w:rsidRPr="00267EFC">
        <w:rPr>
          <w:rFonts w:ascii="Arial" w:hAnsi="Arial" w:cs="Arial"/>
          <w:sz w:val="24"/>
          <w:szCs w:val="24"/>
        </w:rPr>
        <w:t xml:space="preserve"> procedures and processes in line with legislation and statutory and </w:t>
      </w:r>
      <w:r w:rsidR="008C0066" w:rsidRPr="00267EFC">
        <w:rPr>
          <w:rFonts w:ascii="Arial" w:hAnsi="Arial" w:cs="Arial"/>
          <w:sz w:val="24"/>
          <w:szCs w:val="24"/>
        </w:rPr>
        <w:t>non-statutory</w:t>
      </w:r>
      <w:r w:rsidRPr="00267EFC">
        <w:rPr>
          <w:rFonts w:ascii="Arial" w:hAnsi="Arial" w:cs="Arial"/>
          <w:sz w:val="24"/>
          <w:szCs w:val="24"/>
        </w:rPr>
        <w:t xml:space="preserve"> guidance. </w:t>
      </w:r>
    </w:p>
    <w:p w14:paraId="1A728B36" w14:textId="77777777" w:rsidR="008C0066" w:rsidRPr="008C0066" w:rsidRDefault="008C0066" w:rsidP="008C0066">
      <w:pPr>
        <w:pStyle w:val="ListParagraph"/>
        <w:rPr>
          <w:rFonts w:ascii="Arial" w:hAnsi="Arial" w:cs="Arial"/>
          <w:sz w:val="24"/>
          <w:szCs w:val="24"/>
        </w:rPr>
      </w:pPr>
    </w:p>
    <w:p w14:paraId="5F424177" w14:textId="2EA2D5B7" w:rsidR="005C2295" w:rsidRDefault="005C2295" w:rsidP="005C2295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bookmarkStart w:id="0" w:name="_Hlk22154633"/>
      <w:bookmarkStart w:id="1" w:name="_Hlk22158257"/>
      <w:bookmarkStart w:id="2" w:name="_Hlk22152794"/>
    </w:p>
    <w:p w14:paraId="3DACD88A" w14:textId="07BAFE2C" w:rsidR="00267EFC" w:rsidRDefault="004857FE" w:rsidP="004857F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857FE">
        <w:rPr>
          <w:rFonts w:ascii="Arial" w:hAnsi="Arial" w:cs="Arial"/>
          <w:b/>
          <w:bCs/>
          <w:sz w:val="24"/>
          <w:szCs w:val="24"/>
        </w:rPr>
        <w:t>AIM</w:t>
      </w:r>
    </w:p>
    <w:p w14:paraId="5F1C09D8" w14:textId="1709D62D" w:rsidR="004857FE" w:rsidRDefault="004857FE" w:rsidP="004857FE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 w:rsidRPr="004857FE">
        <w:rPr>
          <w:rFonts w:ascii="Arial" w:eastAsia="Times New Roman" w:hAnsi="Arial" w:cs="Arial"/>
          <w:sz w:val="24"/>
          <w:szCs w:val="24"/>
          <w:lang w:eastAsia="en-GB"/>
        </w:rPr>
        <w:t xml:space="preserve">By implementing robust, ethical and child focused infrastructures, processes and procedures </w:t>
      </w:r>
      <w:r>
        <w:rPr>
          <w:rFonts w:ascii="Arial" w:eastAsia="Times New Roman" w:hAnsi="Arial" w:cs="Arial"/>
          <w:sz w:val="24"/>
          <w:szCs w:val="24"/>
          <w:lang w:eastAsia="en-GB"/>
        </w:rPr>
        <w:t>central to creating sustainable and meaningful children residential placements</w:t>
      </w:r>
      <w:r w:rsidR="0088626A">
        <w:rPr>
          <w:rFonts w:ascii="Arial" w:eastAsia="Times New Roman" w:hAnsi="Arial" w:cs="Arial"/>
          <w:sz w:val="24"/>
          <w:szCs w:val="24"/>
          <w:lang w:eastAsia="en-GB"/>
        </w:rPr>
        <w:t xml:space="preserve"> and 16 plus placements. </w:t>
      </w:r>
    </w:p>
    <w:p w14:paraId="43C19976" w14:textId="77777777" w:rsidR="008C0066" w:rsidRDefault="008C0066" w:rsidP="008C0066">
      <w:pPr>
        <w:pStyle w:val="ListParagraph"/>
        <w:shd w:val="clear" w:color="auto" w:fill="FFFFFF"/>
        <w:spacing w:after="0" w:line="240" w:lineRule="auto"/>
        <w:ind w:left="1440" w:right="-48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CF64450" w14:textId="75290FEB" w:rsidR="001B45F2" w:rsidRDefault="001B45F2" w:rsidP="001B45F2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267EFC">
        <w:rPr>
          <w:rFonts w:ascii="Arial" w:hAnsi="Arial" w:cs="Arial"/>
          <w:sz w:val="24"/>
          <w:szCs w:val="24"/>
        </w:rPr>
        <w:t>To embed, facilitate and evolve coherent and robust infrastructures, procedures and processes in line with legislation and statutory and non</w:t>
      </w:r>
      <w:r w:rsidR="000D6F14">
        <w:rPr>
          <w:rFonts w:ascii="Arial" w:hAnsi="Arial" w:cs="Arial"/>
          <w:sz w:val="24"/>
          <w:szCs w:val="24"/>
        </w:rPr>
        <w:t>-</w:t>
      </w:r>
      <w:r w:rsidRPr="00267EFC">
        <w:rPr>
          <w:rFonts w:ascii="Arial" w:hAnsi="Arial" w:cs="Arial"/>
          <w:sz w:val="24"/>
          <w:szCs w:val="24"/>
        </w:rPr>
        <w:t xml:space="preserve"> statutory guidance. </w:t>
      </w:r>
    </w:p>
    <w:p w14:paraId="1E7A6542" w14:textId="77777777" w:rsidR="008C0066" w:rsidRPr="008C0066" w:rsidRDefault="008C0066" w:rsidP="008C0066">
      <w:pPr>
        <w:pStyle w:val="ListParagraph"/>
        <w:rPr>
          <w:rFonts w:ascii="Arial" w:hAnsi="Arial" w:cs="Arial"/>
          <w:sz w:val="24"/>
          <w:szCs w:val="24"/>
        </w:rPr>
      </w:pPr>
    </w:p>
    <w:p w14:paraId="62CF18EF" w14:textId="77777777" w:rsidR="005462E5" w:rsidRDefault="00700E10" w:rsidP="005D25D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Ensure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 xml:space="preserve"> all employees or </w:t>
      </w:r>
      <w:r w:rsidR="005462E5">
        <w:rPr>
          <w:rFonts w:ascii="Arial" w:eastAsia="Times New Roman" w:hAnsi="Arial" w:cs="Arial"/>
          <w:sz w:val="24"/>
          <w:szCs w:val="24"/>
          <w:lang w:eastAsia="en-GB"/>
        </w:rPr>
        <w:t>r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>elevant stakeholders</w:t>
      </w:r>
      <w:r w:rsidR="005462E5">
        <w:rPr>
          <w:rFonts w:ascii="Arial" w:eastAsia="Times New Roman" w:hAnsi="Arial" w:cs="Arial"/>
          <w:sz w:val="24"/>
          <w:szCs w:val="24"/>
          <w:lang w:eastAsia="en-GB"/>
        </w:rPr>
        <w:t xml:space="preserve"> belonging to the team around the child or young person is 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>involved</w:t>
      </w:r>
      <w:r w:rsidR="005462E5">
        <w:rPr>
          <w:rFonts w:ascii="Arial" w:eastAsia="Times New Roman" w:hAnsi="Arial" w:cs="Arial"/>
          <w:sz w:val="24"/>
          <w:szCs w:val="24"/>
          <w:lang w:eastAsia="en-GB"/>
        </w:rPr>
        <w:t xml:space="preserve"> at every 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>step of the referral process</w:t>
      </w:r>
      <w:r w:rsidR="005462E5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</w:p>
    <w:p w14:paraId="3DFC618B" w14:textId="77777777" w:rsidR="005462E5" w:rsidRPr="005462E5" w:rsidRDefault="005462E5" w:rsidP="005462E5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7D8FCFF" w14:textId="2F32415C" w:rsidR="00327B14" w:rsidRDefault="005462E5" w:rsidP="005D25D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Quality Assurance checks are completed by the </w:t>
      </w:r>
      <w:r w:rsidR="0088626A">
        <w:rPr>
          <w:rFonts w:ascii="Arial" w:eastAsia="Times New Roman" w:hAnsi="Arial" w:cs="Arial"/>
          <w:sz w:val="24"/>
          <w:szCs w:val="24"/>
          <w:lang w:eastAsia="en-GB"/>
        </w:rPr>
        <w:t>Home Manager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to assess the 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 xml:space="preserve">effective </w:t>
      </w:r>
      <w:r>
        <w:rPr>
          <w:rFonts w:ascii="Arial" w:eastAsia="Times New Roman" w:hAnsi="Arial" w:cs="Arial"/>
          <w:sz w:val="24"/>
          <w:szCs w:val="24"/>
          <w:lang w:eastAsia="en-GB"/>
        </w:rPr>
        <w:t>application and adherence to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4857FE">
        <w:rPr>
          <w:rFonts w:ascii="Arial" w:eastAsia="Times New Roman" w:hAnsi="Arial" w:cs="Arial"/>
          <w:sz w:val="24"/>
          <w:szCs w:val="24"/>
          <w:lang w:eastAsia="en-GB"/>
        </w:rPr>
        <w:t>Omega Care Group</w:t>
      </w:r>
      <w:r>
        <w:rPr>
          <w:rFonts w:ascii="Arial" w:eastAsia="Times New Roman" w:hAnsi="Arial" w:cs="Arial"/>
          <w:sz w:val="24"/>
          <w:szCs w:val="24"/>
          <w:lang w:eastAsia="en-GB"/>
        </w:rPr>
        <w:t>’</w:t>
      </w:r>
      <w:r w:rsidR="004857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327B14">
        <w:rPr>
          <w:rFonts w:ascii="Arial" w:eastAsia="Times New Roman" w:hAnsi="Arial" w:cs="Arial"/>
          <w:sz w:val="24"/>
          <w:szCs w:val="24"/>
          <w:lang w:eastAsia="en-GB"/>
        </w:rPr>
        <w:t xml:space="preserve">admission processes and procedures. </w:t>
      </w:r>
    </w:p>
    <w:p w14:paraId="3D7071D8" w14:textId="77777777" w:rsidR="005462E5" w:rsidRPr="005462E5" w:rsidRDefault="005462E5" w:rsidP="005462E5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EA3AC74" w14:textId="7A7DDACC" w:rsidR="001B45F2" w:rsidRDefault="005462E5" w:rsidP="001B45F2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admissions </w:t>
      </w:r>
      <w:r w:rsidR="002069F8">
        <w:rPr>
          <w:rFonts w:ascii="Arial" w:hAnsi="Arial" w:cs="Arial"/>
          <w:sz w:val="24"/>
          <w:szCs w:val="24"/>
        </w:rPr>
        <w:t xml:space="preserve">into any of the </w:t>
      </w:r>
      <w:r w:rsidR="0088626A">
        <w:rPr>
          <w:rFonts w:ascii="Arial" w:hAnsi="Arial" w:cs="Arial"/>
          <w:sz w:val="24"/>
          <w:szCs w:val="24"/>
        </w:rPr>
        <w:t xml:space="preserve">provisions </w:t>
      </w:r>
      <w:r w:rsidR="002069F8">
        <w:rPr>
          <w:rFonts w:ascii="Arial" w:hAnsi="Arial" w:cs="Arial"/>
          <w:sz w:val="24"/>
          <w:szCs w:val="24"/>
        </w:rPr>
        <w:t xml:space="preserve">run by Omega Care Group must ensure the child or young person’s </w:t>
      </w:r>
      <w:r w:rsidR="001B45F2">
        <w:rPr>
          <w:rFonts w:ascii="Arial" w:hAnsi="Arial" w:cs="Arial"/>
          <w:sz w:val="24"/>
          <w:szCs w:val="24"/>
        </w:rPr>
        <w:t>needs and</w:t>
      </w:r>
      <w:r w:rsidR="000D6F14">
        <w:rPr>
          <w:rFonts w:ascii="Arial" w:hAnsi="Arial" w:cs="Arial"/>
          <w:sz w:val="24"/>
          <w:szCs w:val="24"/>
        </w:rPr>
        <w:t xml:space="preserve"> wishes can be met by the home’s accommodation and care as detailed within each individual SOP. </w:t>
      </w:r>
      <w:r w:rsidR="001B45F2">
        <w:rPr>
          <w:rFonts w:ascii="Arial" w:hAnsi="Arial" w:cs="Arial"/>
          <w:sz w:val="24"/>
          <w:szCs w:val="24"/>
        </w:rPr>
        <w:t xml:space="preserve"> </w:t>
      </w:r>
    </w:p>
    <w:p w14:paraId="7880B06C" w14:textId="77777777" w:rsidR="008C0066" w:rsidRPr="00267EFC" w:rsidRDefault="008C0066" w:rsidP="008C0066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030016AA" w14:textId="2DD4DBE6" w:rsidR="005D25DA" w:rsidRDefault="00EC157E" w:rsidP="005D25D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 w:rsidRPr="005D25DA">
        <w:rPr>
          <w:rFonts w:ascii="Arial" w:eastAsia="Times New Roman" w:hAnsi="Arial" w:cs="Arial"/>
          <w:sz w:val="24"/>
          <w:szCs w:val="24"/>
          <w:lang w:eastAsia="en-GB"/>
        </w:rPr>
        <w:t>To identify obstacles affecting matching process of children residential placements</w:t>
      </w:r>
      <w:bookmarkEnd w:id="0"/>
      <w:bookmarkEnd w:id="1"/>
      <w:bookmarkEnd w:id="2"/>
      <w:r w:rsidR="0088626A">
        <w:rPr>
          <w:rFonts w:ascii="Arial" w:eastAsia="Times New Roman" w:hAnsi="Arial" w:cs="Arial"/>
          <w:sz w:val="24"/>
          <w:szCs w:val="24"/>
          <w:lang w:eastAsia="en-GB"/>
        </w:rPr>
        <w:t xml:space="preserve"> and 16 plus placements. </w:t>
      </w:r>
    </w:p>
    <w:p w14:paraId="5035309C" w14:textId="77777777" w:rsidR="008C0066" w:rsidRPr="008C0066" w:rsidRDefault="008C0066" w:rsidP="008C0066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71BE3C9" w14:textId="5B18A9E2" w:rsidR="00700E10" w:rsidRDefault="00906F86" w:rsidP="005D25D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To ensure all admissions</w:t>
      </w:r>
      <w:r w:rsidR="00FE0557">
        <w:rPr>
          <w:rFonts w:ascii="Arial" w:eastAsia="Times New Roman" w:hAnsi="Arial" w:cs="Arial"/>
          <w:sz w:val="24"/>
          <w:szCs w:val="24"/>
          <w:lang w:eastAsia="en-GB"/>
        </w:rPr>
        <w:t xml:space="preserve"> into Omega’s Children Residential Services meet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the Children Home Regulation 2015 Care Planning Standard</w:t>
      </w:r>
      <w:r w:rsidR="00FE0557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</w:p>
    <w:p w14:paraId="3361BA68" w14:textId="77777777" w:rsidR="00FE0557" w:rsidRPr="00FE0557" w:rsidRDefault="00FE0557" w:rsidP="00FE0557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1A7A75D" w14:textId="5947640B" w:rsidR="00FE0557" w:rsidRDefault="00FE0557" w:rsidP="00FE0557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To ensure all admissions into Omega’s 16 plus services meet the sixth Supported Accommodation Standard, Placement Northwest, ‘Accommodation’. </w:t>
      </w:r>
    </w:p>
    <w:p w14:paraId="050F349A" w14:textId="77777777" w:rsidR="00FE0557" w:rsidRDefault="00FE0557" w:rsidP="00FE0557">
      <w:pPr>
        <w:pStyle w:val="ListParagraph"/>
        <w:shd w:val="clear" w:color="auto" w:fill="FFFFFF"/>
        <w:spacing w:after="0" w:line="240" w:lineRule="auto"/>
        <w:ind w:left="1440" w:right="-48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1707901" w14:textId="77777777" w:rsidR="008C0066" w:rsidRPr="008C0066" w:rsidRDefault="008C0066" w:rsidP="008C0066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1A4918C" w14:textId="77777777" w:rsidR="008C0066" w:rsidRDefault="008C0066" w:rsidP="008C0066">
      <w:pPr>
        <w:pStyle w:val="ListParagraph"/>
        <w:shd w:val="clear" w:color="auto" w:fill="FFFFFF"/>
        <w:spacing w:after="0" w:line="240" w:lineRule="auto"/>
        <w:ind w:left="1440" w:right="-48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21C29B4" w14:textId="7E963319" w:rsidR="00906F86" w:rsidRDefault="00906F86" w:rsidP="00906F86">
      <w:pPr>
        <w:pStyle w:val="ListParagraph"/>
        <w:shd w:val="clear" w:color="auto" w:fill="FFFFFF"/>
        <w:spacing w:after="0" w:line="240" w:lineRule="auto"/>
        <w:ind w:left="1440" w:right="-48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51F07D9" w14:textId="77777777" w:rsidR="005D25DA" w:rsidRDefault="005D25DA" w:rsidP="008B20B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PROCEDURE </w:t>
      </w:r>
    </w:p>
    <w:p w14:paraId="44BE47E9" w14:textId="59CBF0AE" w:rsidR="007E3F43" w:rsidRPr="008C0066" w:rsidRDefault="000D6F14" w:rsidP="007E3F4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E3F43">
        <w:rPr>
          <w:rFonts w:ascii="Arial" w:hAnsi="Arial" w:cs="Arial"/>
          <w:bCs/>
          <w:sz w:val="24"/>
          <w:szCs w:val="24"/>
        </w:rPr>
        <w:t>ll admissions off child</w:t>
      </w:r>
      <w:r>
        <w:rPr>
          <w:rFonts w:ascii="Arial" w:hAnsi="Arial" w:cs="Arial"/>
          <w:bCs/>
          <w:sz w:val="24"/>
          <w:szCs w:val="24"/>
        </w:rPr>
        <w:t xml:space="preserve">ren and young people </w:t>
      </w:r>
      <w:r w:rsidR="007E3F43">
        <w:rPr>
          <w:rFonts w:ascii="Arial" w:hAnsi="Arial" w:cs="Arial"/>
          <w:bCs/>
          <w:sz w:val="24"/>
          <w:szCs w:val="24"/>
        </w:rPr>
        <w:t>will be conditional to the referral process:</w:t>
      </w:r>
    </w:p>
    <w:p w14:paraId="7FDD1D0C" w14:textId="77777777" w:rsidR="008C0066" w:rsidRPr="00720FF5" w:rsidRDefault="008C0066" w:rsidP="008C0066">
      <w:pPr>
        <w:pStyle w:val="ListParagraph"/>
        <w:shd w:val="clear" w:color="auto" w:fill="FFFFFF"/>
        <w:spacing w:after="0" w:line="240" w:lineRule="auto"/>
        <w:ind w:left="1440" w:right="-480"/>
        <w:rPr>
          <w:rFonts w:ascii="Arial" w:hAnsi="Arial" w:cs="Arial"/>
          <w:b/>
          <w:sz w:val="24"/>
          <w:szCs w:val="24"/>
        </w:rPr>
      </w:pPr>
    </w:p>
    <w:p w14:paraId="6695F53B" w14:textId="77777777" w:rsidR="008C0066" w:rsidRPr="008C0066" w:rsidRDefault="007E3F43" w:rsidP="007E3F4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Referrals may be sent to Omega Care Group directly or may be </w:t>
      </w:r>
      <w:r w:rsidR="00720FF5">
        <w:rPr>
          <w:rFonts w:ascii="Arial" w:hAnsi="Arial" w:cs="Arial"/>
          <w:bCs/>
          <w:sz w:val="24"/>
          <w:szCs w:val="24"/>
        </w:rPr>
        <w:t>received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720FF5">
        <w:rPr>
          <w:rFonts w:ascii="Arial" w:hAnsi="Arial" w:cs="Arial"/>
          <w:bCs/>
          <w:sz w:val="24"/>
          <w:szCs w:val="24"/>
        </w:rPr>
        <w:t xml:space="preserve">through a specific framework applied for by the means of a successful tender application. </w:t>
      </w:r>
    </w:p>
    <w:p w14:paraId="49611C21" w14:textId="60B04D65" w:rsidR="007E3F43" w:rsidRPr="00720FF5" w:rsidRDefault="00720FF5" w:rsidP="008C0066">
      <w:pPr>
        <w:pStyle w:val="ListParagraph"/>
        <w:shd w:val="clear" w:color="auto" w:fill="FFFFFF"/>
        <w:spacing w:after="0" w:line="240" w:lineRule="auto"/>
        <w:ind w:left="1800"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CD73ADD" w14:textId="21EDB499" w:rsidR="00720FF5" w:rsidRPr="008C0066" w:rsidRDefault="00720FF5" w:rsidP="00720FF5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Any referrals must be in writing </w:t>
      </w:r>
    </w:p>
    <w:p w14:paraId="30D40672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7C933DC" w14:textId="6BC2BF37" w:rsidR="00720FF5" w:rsidRPr="008C0066" w:rsidRDefault="00C41AB9" w:rsidP="008B20B8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All </w:t>
      </w:r>
      <w:r w:rsidR="00031222">
        <w:rPr>
          <w:rFonts w:ascii="Arial" w:hAnsi="Arial" w:cs="Arial"/>
          <w:bCs/>
          <w:sz w:val="24"/>
          <w:szCs w:val="24"/>
        </w:rPr>
        <w:t xml:space="preserve">potential admissions are </w:t>
      </w:r>
      <w:r>
        <w:rPr>
          <w:rFonts w:ascii="Arial" w:hAnsi="Arial" w:cs="Arial"/>
          <w:bCs/>
          <w:sz w:val="24"/>
          <w:szCs w:val="24"/>
        </w:rPr>
        <w:t xml:space="preserve">overseen by </w:t>
      </w:r>
      <w:r w:rsidR="002069F8">
        <w:rPr>
          <w:rFonts w:ascii="Arial" w:hAnsi="Arial" w:cs="Arial"/>
          <w:bCs/>
          <w:sz w:val="24"/>
          <w:szCs w:val="24"/>
        </w:rPr>
        <w:t xml:space="preserve">the </w:t>
      </w:r>
      <w:r w:rsidR="0088626A">
        <w:rPr>
          <w:rFonts w:ascii="Arial" w:hAnsi="Arial" w:cs="Arial"/>
          <w:bCs/>
          <w:sz w:val="24"/>
          <w:szCs w:val="24"/>
        </w:rPr>
        <w:t>Home Manager</w:t>
      </w:r>
      <w:r w:rsidR="00031222">
        <w:rPr>
          <w:rFonts w:ascii="Arial" w:hAnsi="Arial" w:cs="Arial"/>
          <w:bCs/>
          <w:sz w:val="24"/>
          <w:szCs w:val="24"/>
        </w:rPr>
        <w:t xml:space="preserve"> or </w:t>
      </w:r>
      <w:r w:rsidR="002069F8">
        <w:rPr>
          <w:rFonts w:ascii="Arial" w:hAnsi="Arial" w:cs="Arial"/>
          <w:bCs/>
          <w:sz w:val="24"/>
          <w:szCs w:val="24"/>
        </w:rPr>
        <w:t xml:space="preserve">the </w:t>
      </w:r>
      <w:r w:rsidR="00031222">
        <w:rPr>
          <w:rFonts w:ascii="Arial" w:hAnsi="Arial" w:cs="Arial"/>
          <w:bCs/>
          <w:sz w:val="24"/>
          <w:szCs w:val="24"/>
        </w:rPr>
        <w:t>Int</w:t>
      </w:r>
      <w:r w:rsidR="00EE07FE">
        <w:rPr>
          <w:rFonts w:ascii="Arial" w:hAnsi="Arial" w:cs="Arial"/>
          <w:bCs/>
          <w:sz w:val="24"/>
          <w:szCs w:val="24"/>
        </w:rPr>
        <w:t xml:space="preserve">erim </w:t>
      </w:r>
      <w:r w:rsidR="00031222">
        <w:rPr>
          <w:rFonts w:ascii="Arial" w:hAnsi="Arial" w:cs="Arial"/>
          <w:bCs/>
          <w:sz w:val="24"/>
          <w:szCs w:val="24"/>
        </w:rPr>
        <w:t>Manager alongside a senior manager or the Director from the Strategic Management Team.</w:t>
      </w:r>
    </w:p>
    <w:p w14:paraId="0A27627C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C27B3BF" w14:textId="77777777" w:rsidR="008C0066" w:rsidRPr="00031222" w:rsidRDefault="008C0066" w:rsidP="008C0066">
      <w:pPr>
        <w:pStyle w:val="ListParagraph"/>
        <w:shd w:val="clear" w:color="auto" w:fill="FFFFFF"/>
        <w:spacing w:after="0" w:line="240" w:lineRule="auto"/>
        <w:ind w:left="1800" w:right="-480"/>
        <w:rPr>
          <w:rFonts w:ascii="Arial" w:hAnsi="Arial" w:cs="Arial"/>
          <w:b/>
          <w:sz w:val="24"/>
          <w:szCs w:val="24"/>
        </w:rPr>
      </w:pPr>
    </w:p>
    <w:p w14:paraId="4BD5CB8F" w14:textId="38D1B097" w:rsidR="00031222" w:rsidRPr="008C0066" w:rsidRDefault="00031222" w:rsidP="008B20B8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detailed valid impact risk assessment must be completed prior to any admission. </w:t>
      </w:r>
    </w:p>
    <w:p w14:paraId="5F706DB1" w14:textId="77777777" w:rsidR="008C0066" w:rsidRPr="00031222" w:rsidRDefault="008C0066" w:rsidP="008C0066">
      <w:pPr>
        <w:pStyle w:val="ListParagraph"/>
        <w:shd w:val="clear" w:color="auto" w:fill="FFFFFF"/>
        <w:spacing w:after="0" w:line="240" w:lineRule="auto"/>
        <w:ind w:left="1800" w:right="-480"/>
        <w:rPr>
          <w:rFonts w:ascii="Arial" w:hAnsi="Arial" w:cs="Arial"/>
          <w:b/>
          <w:sz w:val="24"/>
          <w:szCs w:val="24"/>
        </w:rPr>
      </w:pPr>
    </w:p>
    <w:p w14:paraId="3644AA28" w14:textId="0DF91BBC" w:rsidR="00EE07FE" w:rsidRPr="008C0066" w:rsidRDefault="002069F8" w:rsidP="00EE07FE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Locality Risk Assessment must be consulted</w:t>
      </w:r>
      <w:r w:rsidR="008F1733">
        <w:rPr>
          <w:rFonts w:ascii="Arial" w:hAnsi="Arial" w:cs="Arial"/>
          <w:bCs/>
          <w:sz w:val="24"/>
          <w:szCs w:val="24"/>
        </w:rPr>
        <w:t xml:space="preserve"> and details of any risk or concern relating to the child or young person referral must be noted within </w:t>
      </w:r>
      <w:r w:rsidR="00EE07FE">
        <w:rPr>
          <w:rFonts w:ascii="Arial" w:hAnsi="Arial" w:cs="Arial"/>
          <w:bCs/>
          <w:sz w:val="24"/>
          <w:szCs w:val="24"/>
        </w:rPr>
        <w:t xml:space="preserve">Omega Care Group admission referral documentation and discussed with </w:t>
      </w:r>
      <w:r w:rsidR="008B20B8">
        <w:rPr>
          <w:rFonts w:ascii="Arial" w:hAnsi="Arial" w:cs="Arial"/>
          <w:bCs/>
          <w:sz w:val="24"/>
          <w:szCs w:val="24"/>
        </w:rPr>
        <w:t>Strategic</w:t>
      </w:r>
      <w:r w:rsidR="00EE07FE">
        <w:rPr>
          <w:rFonts w:ascii="Arial" w:hAnsi="Arial" w:cs="Arial"/>
          <w:bCs/>
          <w:sz w:val="24"/>
          <w:szCs w:val="24"/>
        </w:rPr>
        <w:t xml:space="preserve"> Management team and </w:t>
      </w:r>
      <w:r w:rsidR="008B20B8">
        <w:rPr>
          <w:rFonts w:ascii="Arial" w:hAnsi="Arial" w:cs="Arial"/>
          <w:bCs/>
          <w:sz w:val="24"/>
          <w:szCs w:val="24"/>
        </w:rPr>
        <w:t xml:space="preserve">all </w:t>
      </w:r>
      <w:r w:rsidR="00EE07FE">
        <w:rPr>
          <w:rFonts w:ascii="Arial" w:hAnsi="Arial" w:cs="Arial"/>
          <w:bCs/>
          <w:sz w:val="24"/>
          <w:szCs w:val="24"/>
        </w:rPr>
        <w:t xml:space="preserve">other relevant stakeholders. </w:t>
      </w:r>
    </w:p>
    <w:p w14:paraId="535CE943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71B4B5B" w14:textId="0F568768" w:rsidR="00EE07FE" w:rsidRPr="00416DD4" w:rsidRDefault="008B20B8" w:rsidP="00EE07FE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All potential admission’s needs and wishes must be within the remit of the home’s purposes of care and accommodation</w:t>
      </w:r>
      <w:r w:rsidR="007D3970">
        <w:rPr>
          <w:rFonts w:ascii="Arial" w:hAnsi="Arial" w:cs="Arial"/>
          <w:bCs/>
          <w:sz w:val="24"/>
          <w:szCs w:val="24"/>
        </w:rPr>
        <w:t xml:space="preserve">. </w:t>
      </w:r>
    </w:p>
    <w:p w14:paraId="4EB9C388" w14:textId="77777777" w:rsidR="00416DD4" w:rsidRPr="00416DD4" w:rsidRDefault="00416DD4" w:rsidP="00416DD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2B9EF91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98411F7" w14:textId="6AB6327C" w:rsidR="007D3970" w:rsidRPr="008C0066" w:rsidRDefault="007D3970" w:rsidP="007D3970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Omega Care Group will </w:t>
      </w:r>
      <w:r w:rsidR="008F1733">
        <w:rPr>
          <w:rFonts w:ascii="Arial" w:hAnsi="Arial" w:cs="Arial"/>
          <w:bCs/>
          <w:sz w:val="24"/>
          <w:szCs w:val="24"/>
        </w:rPr>
        <w:t xml:space="preserve">register any interest with the </w:t>
      </w:r>
      <w:r>
        <w:rPr>
          <w:rFonts w:ascii="Arial" w:hAnsi="Arial" w:cs="Arial"/>
          <w:bCs/>
          <w:sz w:val="24"/>
          <w:szCs w:val="24"/>
        </w:rPr>
        <w:t>agency sending the referral</w:t>
      </w:r>
      <w:r w:rsidR="008F1733">
        <w:rPr>
          <w:rFonts w:ascii="Arial" w:hAnsi="Arial" w:cs="Arial"/>
          <w:bCs/>
          <w:sz w:val="24"/>
          <w:szCs w:val="24"/>
        </w:rPr>
        <w:t>.</w:t>
      </w:r>
    </w:p>
    <w:p w14:paraId="7B5EEA2D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22FB343" w14:textId="7963C26D" w:rsidR="007D3970" w:rsidRPr="008F1733" w:rsidRDefault="007D3970" w:rsidP="007D3970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statement of interest will be developed central to the SOP and the referral</w:t>
      </w:r>
      <w:r w:rsidR="008F1733">
        <w:rPr>
          <w:rFonts w:ascii="Arial" w:hAnsi="Arial" w:cs="Arial"/>
          <w:bCs/>
          <w:sz w:val="24"/>
          <w:szCs w:val="24"/>
        </w:rPr>
        <w:t xml:space="preserve">. Where possible this is led by the </w:t>
      </w:r>
      <w:r w:rsidR="0088626A">
        <w:rPr>
          <w:rFonts w:ascii="Arial" w:hAnsi="Arial" w:cs="Arial"/>
          <w:bCs/>
          <w:sz w:val="24"/>
          <w:szCs w:val="24"/>
        </w:rPr>
        <w:t>Home Manager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40385BA5" w14:textId="77777777" w:rsidR="008F1733" w:rsidRPr="008F1733" w:rsidRDefault="008F1733" w:rsidP="008F1733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678D2D8" w14:textId="77777777" w:rsidR="008C0066" w:rsidRPr="008C0066" w:rsidRDefault="007D3970" w:rsidP="005A485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Impact Risk Assessment, SOP, Locality Risk Assessment and Statement of Interest will all be submitted to the relevant agency</w:t>
      </w:r>
      <w:r w:rsidR="009F5D31">
        <w:rPr>
          <w:rFonts w:ascii="Arial" w:hAnsi="Arial" w:cs="Arial"/>
          <w:bCs/>
          <w:sz w:val="24"/>
          <w:szCs w:val="24"/>
        </w:rPr>
        <w:t xml:space="preserve"> if they meet the needs of the child or young person.</w:t>
      </w:r>
    </w:p>
    <w:p w14:paraId="2C9995A2" w14:textId="55B045F6" w:rsidR="005A4853" w:rsidRPr="000F73A8" w:rsidRDefault="009F5D31" w:rsidP="008C0066">
      <w:pPr>
        <w:pStyle w:val="ListParagraph"/>
        <w:shd w:val="clear" w:color="auto" w:fill="FFFFFF"/>
        <w:spacing w:after="0" w:line="240" w:lineRule="auto"/>
        <w:ind w:left="1800"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6382F9B" w14:textId="4A4AD83F" w:rsidR="008C0066" w:rsidRPr="008C0066" w:rsidRDefault="000F73A8" w:rsidP="008C0066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expression of interest was shortlisted in relation to a planned placement, Omega Care Group would then proce</w:t>
      </w:r>
      <w:r w:rsidR="008F1733">
        <w:rPr>
          <w:rFonts w:ascii="Arial" w:hAnsi="Arial" w:cs="Arial"/>
          <w:bCs/>
          <w:sz w:val="24"/>
          <w:szCs w:val="24"/>
        </w:rPr>
        <w:t>ed</w:t>
      </w:r>
      <w:r>
        <w:rPr>
          <w:rFonts w:ascii="Arial" w:hAnsi="Arial" w:cs="Arial"/>
          <w:bCs/>
          <w:sz w:val="24"/>
          <w:szCs w:val="24"/>
        </w:rPr>
        <w:t xml:space="preserve"> with a meeting with social services and request further documentation. </w:t>
      </w:r>
    </w:p>
    <w:p w14:paraId="24872700" w14:textId="77777777" w:rsidR="008C0066" w:rsidRPr="008C0066" w:rsidRDefault="008C0066" w:rsidP="008C0066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3299C8B4" w14:textId="38B58ADA" w:rsidR="000F73A8" w:rsidRPr="008C0066" w:rsidRDefault="000F73A8" w:rsidP="008C0066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 w:rsidRPr="008C0066">
        <w:rPr>
          <w:rFonts w:ascii="Arial" w:hAnsi="Arial" w:cs="Arial"/>
          <w:bCs/>
          <w:sz w:val="24"/>
          <w:szCs w:val="24"/>
        </w:rPr>
        <w:t>Further documentation requested within assessment of referral includes: Education and Health Care plans, Psychiatric or behavioural Reports or Formulation, Care Plans</w:t>
      </w:r>
      <w:r w:rsidR="00B63A2E" w:rsidRPr="008C0066">
        <w:rPr>
          <w:rFonts w:ascii="Arial" w:hAnsi="Arial" w:cs="Arial"/>
          <w:bCs/>
          <w:sz w:val="24"/>
          <w:szCs w:val="24"/>
        </w:rPr>
        <w:t xml:space="preserve">, documentation created around the child e.g. one-page profiles </w:t>
      </w:r>
      <w:r w:rsidRPr="008C0066">
        <w:rPr>
          <w:rFonts w:ascii="Arial" w:hAnsi="Arial" w:cs="Arial"/>
          <w:bCs/>
          <w:sz w:val="24"/>
          <w:szCs w:val="24"/>
        </w:rPr>
        <w:t>and any other documentation deemed necessary</w:t>
      </w:r>
      <w:r w:rsidR="00B63A2E" w:rsidRPr="008C0066">
        <w:rPr>
          <w:rFonts w:ascii="Arial" w:hAnsi="Arial" w:cs="Arial"/>
          <w:bCs/>
          <w:sz w:val="24"/>
          <w:szCs w:val="24"/>
        </w:rPr>
        <w:t>.</w:t>
      </w:r>
    </w:p>
    <w:p w14:paraId="3DF4EAA2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194146B" w14:textId="06CD5802" w:rsidR="000F73A8" w:rsidRPr="00F53665" w:rsidRDefault="00B63A2E" w:rsidP="005A485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the home’s accommodation and care is suited to the child’s needs and wishes, then planned visits will be facilitated within the child or young person’s current home / accommodation. </w:t>
      </w:r>
    </w:p>
    <w:p w14:paraId="777B237D" w14:textId="77777777" w:rsidR="00F53665" w:rsidRPr="00F53665" w:rsidRDefault="00F53665" w:rsidP="00F5366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F2B96E3" w14:textId="16BD8F70" w:rsidR="00F53665" w:rsidRPr="00F53665" w:rsidRDefault="00F53665" w:rsidP="00F53665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 w:rsidRPr="00F53665">
        <w:rPr>
          <w:rFonts w:ascii="Arial" w:hAnsi="Arial" w:cs="Arial"/>
          <w:bCs/>
          <w:sz w:val="24"/>
          <w:szCs w:val="24"/>
        </w:rPr>
        <w:t xml:space="preserve">An educational provision must be </w:t>
      </w:r>
      <w:r w:rsidR="00FE0557">
        <w:rPr>
          <w:rFonts w:ascii="Arial" w:hAnsi="Arial" w:cs="Arial"/>
          <w:bCs/>
          <w:sz w:val="24"/>
          <w:szCs w:val="24"/>
        </w:rPr>
        <w:t xml:space="preserve">reviewed and </w:t>
      </w:r>
      <w:r w:rsidRPr="00F53665">
        <w:rPr>
          <w:rFonts w:ascii="Arial" w:hAnsi="Arial" w:cs="Arial"/>
          <w:bCs/>
          <w:sz w:val="24"/>
          <w:szCs w:val="24"/>
        </w:rPr>
        <w:t>identified prior to any admission of child or young person</w:t>
      </w:r>
      <w:r w:rsidR="00FE0557">
        <w:rPr>
          <w:rFonts w:ascii="Arial" w:hAnsi="Arial" w:cs="Arial"/>
          <w:bCs/>
          <w:sz w:val="24"/>
          <w:szCs w:val="24"/>
        </w:rPr>
        <w:t xml:space="preserve"> within the Children Residential Service</w:t>
      </w:r>
      <w:r w:rsidRPr="00F53665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Omega will work with Local Authorities Educational Officers to source education provisions. </w:t>
      </w:r>
    </w:p>
    <w:p w14:paraId="148C7015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D6BFE8B" w14:textId="133AE50A" w:rsidR="00B63A2E" w:rsidRPr="008C0066" w:rsidRDefault="00B63A2E" w:rsidP="005A485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transition process will be around the needs of the child or young person and agreed with the wider system. </w:t>
      </w:r>
    </w:p>
    <w:p w14:paraId="7D5072DA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854BAD4" w14:textId="12BBADA8" w:rsidR="00B63A2E" w:rsidRPr="008C0066" w:rsidRDefault="00CC7CDB" w:rsidP="005A485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Wherever </w:t>
      </w:r>
      <w:r w:rsidR="00B63A2E">
        <w:rPr>
          <w:rFonts w:ascii="Arial" w:hAnsi="Arial" w:cs="Arial"/>
          <w:bCs/>
          <w:sz w:val="24"/>
          <w:szCs w:val="24"/>
        </w:rPr>
        <w:t>possible, the child or young person should visit</w:t>
      </w:r>
      <w:r w:rsidR="00A7664C">
        <w:rPr>
          <w:rFonts w:ascii="Arial" w:hAnsi="Arial" w:cs="Arial"/>
          <w:bCs/>
          <w:sz w:val="24"/>
          <w:szCs w:val="24"/>
        </w:rPr>
        <w:t xml:space="preserve"> the home. </w:t>
      </w:r>
    </w:p>
    <w:p w14:paraId="62C6E657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1F514BA" w14:textId="37DC1A10" w:rsidR="00253489" w:rsidRPr="008C0066" w:rsidRDefault="00253489" w:rsidP="005A485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at any point </w:t>
      </w:r>
      <w:r w:rsidR="00A7664C">
        <w:rPr>
          <w:rFonts w:ascii="Arial" w:hAnsi="Arial" w:cs="Arial"/>
          <w:bCs/>
          <w:sz w:val="24"/>
          <w:szCs w:val="24"/>
        </w:rPr>
        <w:t xml:space="preserve">concerns are raised regarding the care or accommodation not meeting the child or young person’s need then </w:t>
      </w:r>
      <w:r>
        <w:rPr>
          <w:rFonts w:ascii="Arial" w:hAnsi="Arial" w:cs="Arial"/>
          <w:bCs/>
          <w:sz w:val="24"/>
          <w:szCs w:val="24"/>
        </w:rPr>
        <w:t xml:space="preserve">this will be expressed </w:t>
      </w:r>
      <w:r w:rsidR="00CD2810">
        <w:rPr>
          <w:rFonts w:ascii="Arial" w:hAnsi="Arial" w:cs="Arial"/>
          <w:bCs/>
          <w:sz w:val="24"/>
          <w:szCs w:val="24"/>
        </w:rPr>
        <w:t xml:space="preserve">immediately to the social worker and where relevant other stakeholders. </w:t>
      </w:r>
    </w:p>
    <w:p w14:paraId="6F37BC38" w14:textId="77777777" w:rsidR="008C0066" w:rsidRPr="008C0066" w:rsidRDefault="008C0066" w:rsidP="008C00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7BE1629" w14:textId="23DBBD0B" w:rsidR="008C0066" w:rsidRPr="00416DD4" w:rsidRDefault="00CC7CDB" w:rsidP="00F10AEF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 w:rsidRPr="009F5D31">
        <w:rPr>
          <w:rFonts w:ascii="Arial" w:hAnsi="Arial" w:cs="Arial"/>
          <w:bCs/>
          <w:sz w:val="24"/>
          <w:szCs w:val="24"/>
        </w:rPr>
        <w:t>Where a referral is a potential unplanned admission Omega Care Group will still ensure</w:t>
      </w:r>
      <w:r w:rsidR="00F10AEF" w:rsidRPr="009F5D31">
        <w:rPr>
          <w:rFonts w:ascii="Arial" w:hAnsi="Arial" w:cs="Arial"/>
          <w:bCs/>
          <w:sz w:val="24"/>
          <w:szCs w:val="24"/>
        </w:rPr>
        <w:t xml:space="preserve"> in the first instance the referral is relevant to the </w:t>
      </w:r>
      <w:r w:rsidRPr="009F5D31">
        <w:rPr>
          <w:rFonts w:ascii="Arial" w:hAnsi="Arial" w:cs="Arial"/>
          <w:bCs/>
          <w:sz w:val="24"/>
          <w:szCs w:val="24"/>
        </w:rPr>
        <w:t>Impact Risk Assessment, SOP, Locality Risk Assessment and Statement of Interest will all be submitted to the relevant agency.</w:t>
      </w:r>
    </w:p>
    <w:p w14:paraId="75A72D1C" w14:textId="77777777" w:rsidR="00416DD4" w:rsidRPr="00416DD4" w:rsidRDefault="00416DD4" w:rsidP="00416DD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FF002C6" w14:textId="16C7F033" w:rsidR="00416DD4" w:rsidRPr="008C0066" w:rsidRDefault="00416DD4" w:rsidP="00F10AEF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Significant emphasis must be placed on the child’s education plan, measures to sustain or start education and timeframes. </w:t>
      </w:r>
    </w:p>
    <w:p w14:paraId="026519C6" w14:textId="77777777" w:rsidR="008C0066" w:rsidRPr="008C0066" w:rsidRDefault="008C0066" w:rsidP="008C0066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130CDECF" w14:textId="6B5706B5" w:rsidR="00F10AEF" w:rsidRPr="009F5D31" w:rsidRDefault="00A7664C" w:rsidP="00F10AEF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f</w:t>
      </w:r>
      <w:r w:rsidR="00F10AEF" w:rsidRPr="009F5D31">
        <w:rPr>
          <w:rFonts w:ascii="Arial" w:hAnsi="Arial" w:cs="Arial"/>
          <w:bCs/>
          <w:sz w:val="24"/>
          <w:szCs w:val="24"/>
        </w:rPr>
        <w:t>ollowing pre-requisites must be met for any admission of a</w:t>
      </w:r>
      <w:r w:rsidR="00253489">
        <w:rPr>
          <w:rFonts w:ascii="Arial" w:hAnsi="Arial" w:cs="Arial"/>
          <w:bCs/>
          <w:sz w:val="24"/>
          <w:szCs w:val="24"/>
        </w:rPr>
        <w:t>n</w:t>
      </w:r>
      <w:r w:rsidR="00F10AEF" w:rsidRPr="009F5D31">
        <w:rPr>
          <w:rFonts w:ascii="Arial" w:hAnsi="Arial" w:cs="Arial"/>
          <w:bCs/>
          <w:sz w:val="24"/>
          <w:szCs w:val="24"/>
        </w:rPr>
        <w:t xml:space="preserve"> emergency placement. </w:t>
      </w:r>
    </w:p>
    <w:p w14:paraId="77B44FF9" w14:textId="392672BF" w:rsidR="00F10AEF" w:rsidRPr="009F5D31" w:rsidRDefault="00F10AEF" w:rsidP="00F10AE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 w:rsidRPr="009F5D31">
        <w:rPr>
          <w:rFonts w:ascii="Arial" w:hAnsi="Arial" w:cs="Arial"/>
          <w:sz w:val="24"/>
          <w:szCs w:val="24"/>
        </w:rPr>
        <w:t>The setting receives information on behaviours and needs, alongside contact details.</w:t>
      </w:r>
    </w:p>
    <w:p w14:paraId="5B6D0B27" w14:textId="580358DD" w:rsidR="00F10AEF" w:rsidRDefault="00F10AEF" w:rsidP="00F10AE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9F5D31">
        <w:rPr>
          <w:rFonts w:ascii="Arial" w:hAnsi="Arial" w:cs="Arial"/>
          <w:sz w:val="24"/>
          <w:szCs w:val="24"/>
        </w:rPr>
        <w:t>The potential placement will not impact negatively on any current placement.</w:t>
      </w:r>
    </w:p>
    <w:p w14:paraId="1374ED21" w14:textId="02458F07" w:rsidR="00416DD4" w:rsidRPr="009F5D31" w:rsidRDefault="00416DD4" w:rsidP="00F10AE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sustainable and valid personal education plan must be in place and functioning </w:t>
      </w:r>
      <w:r w:rsidR="00FE0557">
        <w:rPr>
          <w:rFonts w:ascii="Arial" w:hAnsi="Arial" w:cs="Arial"/>
          <w:sz w:val="24"/>
          <w:szCs w:val="24"/>
        </w:rPr>
        <w:t xml:space="preserve">for Children Residential admissions. </w:t>
      </w:r>
    </w:p>
    <w:p w14:paraId="0151AF36" w14:textId="4204CF4B" w:rsidR="00F10AEF" w:rsidRPr="009F5D31" w:rsidRDefault="00F10AEF" w:rsidP="00F10AE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9F5D31">
        <w:rPr>
          <w:rFonts w:ascii="Arial" w:hAnsi="Arial" w:cs="Arial"/>
          <w:sz w:val="24"/>
          <w:szCs w:val="24"/>
        </w:rPr>
        <w:t>The support needs of the child or young person can be met within the setting (a</w:t>
      </w:r>
      <w:r w:rsidR="00A7664C">
        <w:rPr>
          <w:rFonts w:ascii="Arial" w:hAnsi="Arial" w:cs="Arial"/>
          <w:sz w:val="24"/>
          <w:szCs w:val="24"/>
        </w:rPr>
        <w:t xml:space="preserve">s outlined within </w:t>
      </w:r>
      <w:r w:rsidRPr="009F5D31">
        <w:rPr>
          <w:rFonts w:ascii="Arial" w:hAnsi="Arial" w:cs="Arial"/>
          <w:sz w:val="24"/>
          <w:szCs w:val="24"/>
        </w:rPr>
        <w:t>the Statement of Purpose).</w:t>
      </w:r>
    </w:p>
    <w:p w14:paraId="1372FEF7" w14:textId="77777777" w:rsidR="009F5D31" w:rsidRPr="009F5D31" w:rsidRDefault="00F10AEF" w:rsidP="00F10AE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9F5D31">
        <w:rPr>
          <w:rFonts w:ascii="Arial" w:hAnsi="Arial" w:cs="Arial"/>
          <w:sz w:val="24"/>
          <w:szCs w:val="24"/>
        </w:rPr>
        <w:t xml:space="preserve">The child or young person is brought by their social worker to placement and </w:t>
      </w:r>
      <w:r w:rsidR="009F5D31" w:rsidRPr="009F5D31">
        <w:rPr>
          <w:rFonts w:ascii="Arial" w:hAnsi="Arial" w:cs="Arial"/>
          <w:sz w:val="24"/>
          <w:szCs w:val="24"/>
        </w:rPr>
        <w:t>can</w:t>
      </w:r>
      <w:r w:rsidRPr="009F5D31">
        <w:rPr>
          <w:rFonts w:ascii="Arial" w:hAnsi="Arial" w:cs="Arial"/>
          <w:sz w:val="24"/>
          <w:szCs w:val="24"/>
        </w:rPr>
        <w:t xml:space="preserve"> clarify details.</w:t>
      </w:r>
    </w:p>
    <w:p w14:paraId="728B1411" w14:textId="343EC86A" w:rsidR="00F10AEF" w:rsidRDefault="00F10AEF" w:rsidP="00F10AE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9F5D31">
        <w:rPr>
          <w:rFonts w:ascii="Arial" w:hAnsi="Arial" w:cs="Arial"/>
          <w:sz w:val="24"/>
          <w:szCs w:val="24"/>
        </w:rPr>
        <w:t>The placement should be reviewed within 72 hours with an emphasis on long term planning</w:t>
      </w:r>
      <w:r w:rsidR="00FE0557">
        <w:rPr>
          <w:rFonts w:ascii="Arial" w:hAnsi="Arial" w:cs="Arial"/>
          <w:sz w:val="24"/>
          <w:szCs w:val="24"/>
        </w:rPr>
        <w:t xml:space="preserve"> with the Children Residential Services. </w:t>
      </w:r>
    </w:p>
    <w:p w14:paraId="585B709B" w14:textId="77777777" w:rsidR="00A7664C" w:rsidRDefault="00A7664C" w:rsidP="00A7664C">
      <w:pPr>
        <w:pStyle w:val="ListParagraph"/>
        <w:spacing w:after="160" w:line="259" w:lineRule="auto"/>
        <w:ind w:left="2520"/>
        <w:rPr>
          <w:rFonts w:ascii="Arial" w:hAnsi="Arial" w:cs="Arial"/>
          <w:sz w:val="24"/>
          <w:szCs w:val="24"/>
        </w:rPr>
      </w:pPr>
    </w:p>
    <w:p w14:paraId="445595A4" w14:textId="7366E1F9" w:rsidR="00B63A2E" w:rsidRPr="009F5D31" w:rsidRDefault="00CD2810" w:rsidP="009F5D31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right="-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Following agreement and confirmation of placement</w:t>
      </w:r>
      <w:r w:rsidR="00254439">
        <w:rPr>
          <w:rFonts w:ascii="Arial" w:hAnsi="Arial" w:cs="Arial"/>
          <w:bCs/>
          <w:sz w:val="24"/>
          <w:szCs w:val="24"/>
        </w:rPr>
        <w:t xml:space="preserve"> all children and young people will receive a full induction into the </w:t>
      </w:r>
      <w:r w:rsidR="00FE0557">
        <w:rPr>
          <w:rFonts w:ascii="Arial" w:hAnsi="Arial" w:cs="Arial"/>
          <w:bCs/>
          <w:sz w:val="24"/>
          <w:szCs w:val="24"/>
        </w:rPr>
        <w:t>home and</w:t>
      </w:r>
      <w:r w:rsidR="00416DD4">
        <w:rPr>
          <w:rFonts w:ascii="Arial" w:hAnsi="Arial" w:cs="Arial"/>
          <w:bCs/>
          <w:sz w:val="24"/>
          <w:szCs w:val="24"/>
        </w:rPr>
        <w:t xml:space="preserve"> be issued a young persons welcome guide. </w:t>
      </w:r>
    </w:p>
    <w:sectPr w:rsidR="00B63A2E" w:rsidRPr="009F5D31" w:rsidSect="00B130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BE07" w14:textId="77777777" w:rsidR="00BF6560" w:rsidRDefault="00BF6560" w:rsidP="00F70EE9">
      <w:pPr>
        <w:spacing w:after="0" w:line="240" w:lineRule="auto"/>
      </w:pPr>
      <w:r>
        <w:separator/>
      </w:r>
    </w:p>
  </w:endnote>
  <w:endnote w:type="continuationSeparator" w:id="0">
    <w:p w14:paraId="00F6F2BB" w14:textId="77777777" w:rsidR="00BF6560" w:rsidRDefault="00BF6560" w:rsidP="00F7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EA1F5" w14:textId="77777777" w:rsidR="007D3970" w:rsidRDefault="007D3970" w:rsidP="009B0527">
    <w:pPr>
      <w:pStyle w:val="Footer"/>
      <w:jc w:val="right"/>
    </w:pPr>
    <w:r>
      <w:t xml:space="preserve">Reviewed by Nicole Whiting </w:t>
    </w:r>
  </w:p>
  <w:p w14:paraId="70C5B568" w14:textId="749CD32F" w:rsidR="007D3970" w:rsidRDefault="007D3970" w:rsidP="009B0527">
    <w:pPr>
      <w:pStyle w:val="Footer"/>
      <w:jc w:val="right"/>
    </w:pPr>
    <w:r>
      <w:t>Date: 02.0</w:t>
    </w:r>
    <w:r w:rsidR="00E85C89">
      <w:t>9</w:t>
    </w:r>
    <w:r>
      <w:t>.20</w:t>
    </w:r>
  </w:p>
  <w:p w14:paraId="5236941E" w14:textId="302EFC64" w:rsidR="007D3970" w:rsidRPr="009B0527" w:rsidRDefault="007D3970" w:rsidP="009B0527">
    <w:pPr>
      <w:pStyle w:val="Footer"/>
      <w:jc w:val="right"/>
    </w:pPr>
    <w:r>
      <w:t>Review date: 01.0</w:t>
    </w:r>
    <w:r w:rsidR="00E85C89">
      <w:t>9</w:t>
    </w:r>
    <w:r>
      <w:t>.21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93796" w14:textId="77777777" w:rsidR="00BF6560" w:rsidRDefault="00BF6560" w:rsidP="00F70EE9">
      <w:pPr>
        <w:spacing w:after="0" w:line="240" w:lineRule="auto"/>
      </w:pPr>
      <w:r>
        <w:separator/>
      </w:r>
    </w:p>
  </w:footnote>
  <w:footnote w:type="continuationSeparator" w:id="0">
    <w:p w14:paraId="1A1EA2FA" w14:textId="77777777" w:rsidR="00BF6560" w:rsidRDefault="00BF6560" w:rsidP="00F7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AE8F" w14:textId="02FAB8F6" w:rsidR="007D3970" w:rsidRDefault="007D3970" w:rsidP="009B052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B7E98A4" wp14:editId="750EA519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3BDF7BC4" w14:textId="0118E051" w:rsidR="007D3970" w:rsidRDefault="007D3970" w:rsidP="009B0527">
    <w:pPr>
      <w:pStyle w:val="Header"/>
    </w:pPr>
    <w:r>
      <w:t xml:space="preserve">Policy: Admission Policy </w:t>
    </w:r>
  </w:p>
  <w:p w14:paraId="4FF7FD8B" w14:textId="73C2F0FD" w:rsidR="007D3970" w:rsidRDefault="007D3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91F"/>
    <w:multiLevelType w:val="hybridMultilevel"/>
    <w:tmpl w:val="108AF37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763B6"/>
    <w:multiLevelType w:val="hybridMultilevel"/>
    <w:tmpl w:val="FAD089E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92A39"/>
    <w:multiLevelType w:val="hybridMultilevel"/>
    <w:tmpl w:val="068A58F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9D24DE"/>
    <w:multiLevelType w:val="hybridMultilevel"/>
    <w:tmpl w:val="2F1EE1F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6637C"/>
    <w:multiLevelType w:val="hybridMultilevel"/>
    <w:tmpl w:val="BF36140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A71632F"/>
    <w:multiLevelType w:val="hybridMultilevel"/>
    <w:tmpl w:val="9FAAB0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D3FD3"/>
    <w:multiLevelType w:val="hybridMultilevel"/>
    <w:tmpl w:val="ABA681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239F"/>
    <w:multiLevelType w:val="hybridMultilevel"/>
    <w:tmpl w:val="57BA0D0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D582A"/>
    <w:multiLevelType w:val="hybridMultilevel"/>
    <w:tmpl w:val="F366267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0E728F"/>
    <w:multiLevelType w:val="hybridMultilevel"/>
    <w:tmpl w:val="C05C008C"/>
    <w:lvl w:ilvl="0" w:tplc="7F1AB06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E7EC0"/>
    <w:multiLevelType w:val="multilevel"/>
    <w:tmpl w:val="A3244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F960374"/>
    <w:multiLevelType w:val="hybridMultilevel"/>
    <w:tmpl w:val="4B74FAC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C5B0C"/>
    <w:multiLevelType w:val="hybridMultilevel"/>
    <w:tmpl w:val="4566BF0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F5E5B"/>
    <w:multiLevelType w:val="hybridMultilevel"/>
    <w:tmpl w:val="3AA6609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E0C2C"/>
    <w:multiLevelType w:val="hybridMultilevel"/>
    <w:tmpl w:val="F2766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B4EA2"/>
    <w:multiLevelType w:val="hybridMultilevel"/>
    <w:tmpl w:val="D228D03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1A7084"/>
    <w:multiLevelType w:val="multilevel"/>
    <w:tmpl w:val="7EB43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7B7764ED"/>
    <w:multiLevelType w:val="hybridMultilevel"/>
    <w:tmpl w:val="3B00E36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5"/>
  </w:num>
  <w:num w:numId="7">
    <w:abstractNumId w:val="8"/>
  </w:num>
  <w:num w:numId="8">
    <w:abstractNumId w:val="13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4"/>
  </w:num>
  <w:num w:numId="16">
    <w:abstractNumId w:val="10"/>
  </w:num>
  <w:num w:numId="17">
    <w:abstractNumId w:val="16"/>
  </w:num>
  <w:num w:numId="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23"/>
    <w:rsid w:val="00010339"/>
    <w:rsid w:val="0001724C"/>
    <w:rsid w:val="00031222"/>
    <w:rsid w:val="000425E0"/>
    <w:rsid w:val="000434B2"/>
    <w:rsid w:val="00050AD2"/>
    <w:rsid w:val="00052B57"/>
    <w:rsid w:val="00055E4B"/>
    <w:rsid w:val="000713DA"/>
    <w:rsid w:val="000A4210"/>
    <w:rsid w:val="000D6F14"/>
    <w:rsid w:val="000E0742"/>
    <w:rsid w:val="000F73A8"/>
    <w:rsid w:val="00143584"/>
    <w:rsid w:val="00166519"/>
    <w:rsid w:val="00194BDC"/>
    <w:rsid w:val="001A0E8D"/>
    <w:rsid w:val="001B1FD7"/>
    <w:rsid w:val="001B339A"/>
    <w:rsid w:val="001B45F2"/>
    <w:rsid w:val="001D4359"/>
    <w:rsid w:val="00203CAB"/>
    <w:rsid w:val="002069F8"/>
    <w:rsid w:val="00231AD5"/>
    <w:rsid w:val="00233350"/>
    <w:rsid w:val="00253489"/>
    <w:rsid w:val="00254439"/>
    <w:rsid w:val="00267EFC"/>
    <w:rsid w:val="002F0C6A"/>
    <w:rsid w:val="00311722"/>
    <w:rsid w:val="00327B14"/>
    <w:rsid w:val="00357069"/>
    <w:rsid w:val="003B084B"/>
    <w:rsid w:val="003F5E1F"/>
    <w:rsid w:val="0040409B"/>
    <w:rsid w:val="00416DD4"/>
    <w:rsid w:val="0045537A"/>
    <w:rsid w:val="0048443B"/>
    <w:rsid w:val="004857FE"/>
    <w:rsid w:val="004A516D"/>
    <w:rsid w:val="004E3F7C"/>
    <w:rsid w:val="005218C3"/>
    <w:rsid w:val="00522B69"/>
    <w:rsid w:val="00532D91"/>
    <w:rsid w:val="00537714"/>
    <w:rsid w:val="005462E5"/>
    <w:rsid w:val="005A4853"/>
    <w:rsid w:val="005C2295"/>
    <w:rsid w:val="005D0742"/>
    <w:rsid w:val="005D25DA"/>
    <w:rsid w:val="005E5D6A"/>
    <w:rsid w:val="00631D78"/>
    <w:rsid w:val="006342E6"/>
    <w:rsid w:val="00662E0A"/>
    <w:rsid w:val="0066346C"/>
    <w:rsid w:val="006B4382"/>
    <w:rsid w:val="006B6138"/>
    <w:rsid w:val="006C7B4E"/>
    <w:rsid w:val="00700E10"/>
    <w:rsid w:val="0070696D"/>
    <w:rsid w:val="00720FF5"/>
    <w:rsid w:val="007B74A1"/>
    <w:rsid w:val="007D3970"/>
    <w:rsid w:val="007E3F43"/>
    <w:rsid w:val="008301A5"/>
    <w:rsid w:val="00854BF9"/>
    <w:rsid w:val="0088626A"/>
    <w:rsid w:val="008879E9"/>
    <w:rsid w:val="0089425B"/>
    <w:rsid w:val="008B20B8"/>
    <w:rsid w:val="008C0066"/>
    <w:rsid w:val="008D400E"/>
    <w:rsid w:val="008F1733"/>
    <w:rsid w:val="0090262E"/>
    <w:rsid w:val="00906F86"/>
    <w:rsid w:val="009216CC"/>
    <w:rsid w:val="00924DF4"/>
    <w:rsid w:val="00943737"/>
    <w:rsid w:val="00960A9D"/>
    <w:rsid w:val="0099469F"/>
    <w:rsid w:val="009A62B9"/>
    <w:rsid w:val="009B0527"/>
    <w:rsid w:val="009F5D31"/>
    <w:rsid w:val="00A00C3A"/>
    <w:rsid w:val="00A708E4"/>
    <w:rsid w:val="00A7664C"/>
    <w:rsid w:val="00AF6963"/>
    <w:rsid w:val="00B13069"/>
    <w:rsid w:val="00B23659"/>
    <w:rsid w:val="00B4562E"/>
    <w:rsid w:val="00B63A2E"/>
    <w:rsid w:val="00BD50EF"/>
    <w:rsid w:val="00BF6560"/>
    <w:rsid w:val="00C26A13"/>
    <w:rsid w:val="00C26A71"/>
    <w:rsid w:val="00C30AB5"/>
    <w:rsid w:val="00C41AB9"/>
    <w:rsid w:val="00C63F9B"/>
    <w:rsid w:val="00C75C23"/>
    <w:rsid w:val="00C7759D"/>
    <w:rsid w:val="00C81914"/>
    <w:rsid w:val="00CC7CDB"/>
    <w:rsid w:val="00CD0DCE"/>
    <w:rsid w:val="00CD2810"/>
    <w:rsid w:val="00CF45AA"/>
    <w:rsid w:val="00D6476D"/>
    <w:rsid w:val="00DC1F7C"/>
    <w:rsid w:val="00E41331"/>
    <w:rsid w:val="00E55638"/>
    <w:rsid w:val="00E84FBD"/>
    <w:rsid w:val="00E85C89"/>
    <w:rsid w:val="00EC157E"/>
    <w:rsid w:val="00ED08B0"/>
    <w:rsid w:val="00ED4917"/>
    <w:rsid w:val="00EE07FE"/>
    <w:rsid w:val="00EE3CE4"/>
    <w:rsid w:val="00F10AEF"/>
    <w:rsid w:val="00F31D92"/>
    <w:rsid w:val="00F53665"/>
    <w:rsid w:val="00F66387"/>
    <w:rsid w:val="00F70EE9"/>
    <w:rsid w:val="00F82076"/>
    <w:rsid w:val="00F84A5B"/>
    <w:rsid w:val="00F96E82"/>
    <w:rsid w:val="00FD15D2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0A585"/>
  <w15:docId w15:val="{C40E33AF-7B83-48F5-9C37-EB906901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E9"/>
  </w:style>
  <w:style w:type="paragraph" w:styleId="Footer">
    <w:name w:val="footer"/>
    <w:basedOn w:val="Normal"/>
    <w:link w:val="FooterChar"/>
    <w:uiPriority w:val="99"/>
    <w:unhideWhenUsed/>
    <w:rsid w:val="00F7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E9"/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2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84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40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23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77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75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09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59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39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35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9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820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83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39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46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57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68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64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Connor Bolton</cp:lastModifiedBy>
  <cp:revision>2</cp:revision>
  <dcterms:created xsi:type="dcterms:W3CDTF">2020-11-19T12:30:00Z</dcterms:created>
  <dcterms:modified xsi:type="dcterms:W3CDTF">2020-11-19T12:30:00Z</dcterms:modified>
</cp:coreProperties>
</file>