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CC3" w:rsidRPr="00112CC3" w:rsidRDefault="00112CC3" w:rsidP="00112CC3">
      <w:pPr>
        <w:spacing w:after="0"/>
        <w:jc w:val="center"/>
        <w:rPr>
          <w:rFonts w:ascii="Arial" w:eastAsia="Calibri" w:hAnsi="Arial" w:cs="Arial"/>
          <w:sz w:val="24"/>
          <w:szCs w:val="24"/>
        </w:rPr>
      </w:pPr>
      <w:r w:rsidRPr="00112CC3">
        <w:rPr>
          <w:rFonts w:ascii="Arial" w:eastAsia="Calibri" w:hAnsi="Arial" w:cs="Arial"/>
          <w:noProof/>
          <w:sz w:val="24"/>
          <w:szCs w:val="24"/>
        </w:rPr>
        <w:drawing>
          <wp:inline distT="0" distB="0" distL="0" distR="0" wp14:anchorId="3531C217" wp14:editId="64058658">
            <wp:extent cx="14954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CC3" w:rsidRPr="00112CC3" w:rsidRDefault="00112CC3" w:rsidP="00112CC3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112CC3" w:rsidRPr="00112CC3" w:rsidRDefault="00112CC3" w:rsidP="00112CC3">
      <w:pPr>
        <w:spacing w:after="0"/>
        <w:jc w:val="center"/>
        <w:rPr>
          <w:rFonts w:ascii="Arial" w:eastAsia="Calibri" w:hAnsi="Arial" w:cs="Arial"/>
          <w:b/>
          <w:sz w:val="28"/>
          <w:szCs w:val="24"/>
        </w:rPr>
      </w:pPr>
      <w:r>
        <w:rPr>
          <w:rFonts w:ascii="Arial" w:eastAsia="Calibri" w:hAnsi="Arial" w:cs="Arial"/>
          <w:b/>
          <w:sz w:val="28"/>
          <w:szCs w:val="24"/>
        </w:rPr>
        <w:t>LONE WORKER</w:t>
      </w:r>
      <w:r w:rsidRPr="00112CC3">
        <w:rPr>
          <w:rFonts w:ascii="Arial" w:eastAsia="Calibri" w:hAnsi="Arial" w:cs="Arial"/>
          <w:b/>
          <w:sz w:val="28"/>
          <w:szCs w:val="24"/>
        </w:rPr>
        <w:t xml:space="preserve"> POLICY</w:t>
      </w:r>
    </w:p>
    <w:p w:rsidR="00112CC3" w:rsidRPr="00112CC3" w:rsidRDefault="00112CC3" w:rsidP="00112CC3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112CC3" w:rsidRPr="00112CC3" w:rsidRDefault="00112CC3" w:rsidP="00112CC3">
      <w:pPr>
        <w:spacing w:after="0"/>
        <w:rPr>
          <w:rFonts w:ascii="Arial" w:eastAsia="Calibri" w:hAnsi="Arial" w:cs="Arial"/>
          <w:b/>
          <w:sz w:val="24"/>
          <w:szCs w:val="24"/>
        </w:rPr>
      </w:pPr>
      <w:r w:rsidRPr="00112CC3">
        <w:rPr>
          <w:rFonts w:ascii="Arial" w:eastAsia="Calibri" w:hAnsi="Arial" w:cs="Arial"/>
          <w:b/>
          <w:sz w:val="24"/>
          <w:szCs w:val="24"/>
        </w:rPr>
        <w:t>Date:</w:t>
      </w:r>
      <w:r w:rsidRPr="00112CC3">
        <w:rPr>
          <w:rFonts w:ascii="Arial" w:eastAsia="Calibri" w:hAnsi="Arial" w:cs="Arial"/>
          <w:b/>
          <w:sz w:val="24"/>
          <w:szCs w:val="24"/>
        </w:rPr>
        <w:tab/>
      </w:r>
      <w:r w:rsidRPr="00112CC3">
        <w:rPr>
          <w:rFonts w:ascii="Arial" w:eastAsia="Calibri" w:hAnsi="Arial" w:cs="Arial"/>
          <w:b/>
          <w:sz w:val="24"/>
          <w:szCs w:val="24"/>
        </w:rPr>
        <w:tab/>
        <w:t>1 October 2017</w:t>
      </w:r>
    </w:p>
    <w:p w:rsidR="00112CC3" w:rsidRPr="00112CC3" w:rsidRDefault="00112CC3" w:rsidP="00112CC3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112CC3" w:rsidRPr="00112CC3" w:rsidRDefault="00112CC3" w:rsidP="00112CC3">
      <w:pPr>
        <w:spacing w:after="0"/>
        <w:rPr>
          <w:rFonts w:ascii="Arial" w:eastAsia="Calibri" w:hAnsi="Arial" w:cs="Arial"/>
          <w:b/>
          <w:sz w:val="24"/>
          <w:szCs w:val="24"/>
        </w:rPr>
      </w:pPr>
      <w:r w:rsidRPr="00112CC3">
        <w:rPr>
          <w:rFonts w:ascii="Arial" w:eastAsia="Calibri" w:hAnsi="Arial" w:cs="Arial"/>
          <w:b/>
          <w:sz w:val="24"/>
          <w:szCs w:val="24"/>
        </w:rPr>
        <w:t>Review date:1 October 2018</w:t>
      </w:r>
    </w:p>
    <w:p w:rsidR="00112CC3" w:rsidRDefault="00112CC3" w:rsidP="00AE5C07">
      <w:pPr>
        <w:spacing w:after="0"/>
        <w:rPr>
          <w:rFonts w:ascii="Arial" w:hAnsi="Arial" w:cs="Arial"/>
          <w:sz w:val="24"/>
          <w:szCs w:val="24"/>
        </w:rPr>
      </w:pPr>
    </w:p>
    <w:p w:rsidR="00112CC3" w:rsidRDefault="00112CC3" w:rsidP="00AE5C0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38099</wp:posOffset>
                </wp:positionH>
                <wp:positionV relativeFrom="paragraph">
                  <wp:posOffset>186690</wp:posOffset>
                </wp:positionV>
                <wp:extent cx="58578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7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A1367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4.7pt" to="464.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" strokecolor="#4579b8 [3044]"/>
            </w:pict>
          </mc:Fallback>
        </mc:AlternateContent>
      </w:r>
    </w:p>
    <w:p w:rsidR="00112CC3" w:rsidRDefault="00112CC3" w:rsidP="00AE5C07">
      <w:pPr>
        <w:spacing w:after="0"/>
        <w:rPr>
          <w:rFonts w:ascii="Arial" w:hAnsi="Arial" w:cs="Arial"/>
          <w:sz w:val="24"/>
          <w:szCs w:val="24"/>
        </w:rPr>
      </w:pPr>
    </w:p>
    <w:p w:rsidR="007212A5" w:rsidRPr="00AE5C07" w:rsidRDefault="007212A5" w:rsidP="00AE5C07">
      <w:p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b/>
          <w:sz w:val="24"/>
          <w:szCs w:val="24"/>
        </w:rPr>
        <w:t>Statement of Purpose</w:t>
      </w:r>
    </w:p>
    <w:p w:rsidR="007212A5" w:rsidRDefault="007212A5" w:rsidP="00AE5C07">
      <w:p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 xml:space="preserve">Omega Care Group acknowledges and accepts that it has both moral and statutory responsibilities for the </w:t>
      </w:r>
      <w:r w:rsidR="001A770F" w:rsidRPr="00AE5C07">
        <w:rPr>
          <w:rFonts w:ascii="Arial" w:hAnsi="Arial" w:cs="Arial"/>
          <w:sz w:val="24"/>
          <w:szCs w:val="24"/>
        </w:rPr>
        <w:t xml:space="preserve">health, safety and welfare </w:t>
      </w:r>
      <w:r w:rsidRPr="00AE5C07">
        <w:rPr>
          <w:rFonts w:ascii="Arial" w:hAnsi="Arial" w:cs="Arial"/>
          <w:sz w:val="24"/>
          <w:szCs w:val="24"/>
        </w:rPr>
        <w:t>of its staff.</w:t>
      </w:r>
    </w:p>
    <w:p w:rsidR="001A770F" w:rsidRPr="00AE5C07" w:rsidRDefault="001A770F" w:rsidP="00AE5C07">
      <w:pPr>
        <w:spacing w:after="0"/>
        <w:rPr>
          <w:rFonts w:ascii="Arial" w:hAnsi="Arial" w:cs="Arial"/>
          <w:sz w:val="24"/>
          <w:szCs w:val="24"/>
        </w:rPr>
      </w:pPr>
    </w:p>
    <w:p w:rsidR="007212A5" w:rsidRDefault="007212A5" w:rsidP="00AE5C07">
      <w:p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>Lone workin</w:t>
      </w:r>
      <w:r w:rsidR="001A770F">
        <w:rPr>
          <w:rFonts w:ascii="Arial" w:hAnsi="Arial" w:cs="Arial"/>
          <w:sz w:val="24"/>
          <w:szCs w:val="24"/>
        </w:rPr>
        <w:t>g is defined by the Health and S</w:t>
      </w:r>
      <w:r w:rsidRPr="00AE5C07">
        <w:rPr>
          <w:rFonts w:ascii="Arial" w:hAnsi="Arial" w:cs="Arial"/>
          <w:sz w:val="24"/>
          <w:szCs w:val="24"/>
        </w:rPr>
        <w:t xml:space="preserve">afety </w:t>
      </w:r>
      <w:r w:rsidR="001A770F">
        <w:rPr>
          <w:rFonts w:ascii="Arial" w:hAnsi="Arial" w:cs="Arial"/>
          <w:sz w:val="24"/>
          <w:szCs w:val="24"/>
        </w:rPr>
        <w:t>E</w:t>
      </w:r>
      <w:r w:rsidRPr="00AE5C07">
        <w:rPr>
          <w:rFonts w:ascii="Arial" w:hAnsi="Arial" w:cs="Arial"/>
          <w:sz w:val="24"/>
          <w:szCs w:val="24"/>
        </w:rPr>
        <w:t xml:space="preserve">xecutive as ‘those who work by themselves without direct or constant supervision’. In the context of Omega Care </w:t>
      </w:r>
      <w:r w:rsidR="001A770F">
        <w:rPr>
          <w:rFonts w:ascii="Arial" w:hAnsi="Arial" w:cs="Arial"/>
          <w:sz w:val="24"/>
          <w:szCs w:val="24"/>
        </w:rPr>
        <w:t xml:space="preserve">Group </w:t>
      </w:r>
      <w:r w:rsidRPr="00AE5C07">
        <w:rPr>
          <w:rFonts w:ascii="Arial" w:hAnsi="Arial" w:cs="Arial"/>
          <w:sz w:val="24"/>
          <w:szCs w:val="24"/>
        </w:rPr>
        <w:t xml:space="preserve">this means working within a unit where an individual is the sole member of staff on </w:t>
      </w:r>
      <w:r w:rsidR="006539B3" w:rsidRPr="00AE5C07">
        <w:rPr>
          <w:rFonts w:ascii="Arial" w:hAnsi="Arial" w:cs="Arial"/>
          <w:sz w:val="24"/>
          <w:szCs w:val="24"/>
        </w:rPr>
        <w:t>duty</w:t>
      </w:r>
      <w:r w:rsidR="001A770F">
        <w:rPr>
          <w:rFonts w:ascii="Arial" w:hAnsi="Arial" w:cs="Arial"/>
          <w:sz w:val="24"/>
          <w:szCs w:val="24"/>
        </w:rPr>
        <w:t>;</w:t>
      </w:r>
      <w:r w:rsidR="006539B3" w:rsidRPr="00AE5C07">
        <w:rPr>
          <w:rFonts w:ascii="Arial" w:hAnsi="Arial" w:cs="Arial"/>
          <w:sz w:val="24"/>
          <w:szCs w:val="24"/>
        </w:rPr>
        <w:t xml:space="preserve"> this may also include sleep</w:t>
      </w:r>
      <w:r w:rsidR="001A770F">
        <w:rPr>
          <w:rFonts w:ascii="Arial" w:hAnsi="Arial" w:cs="Arial"/>
          <w:sz w:val="24"/>
          <w:szCs w:val="24"/>
        </w:rPr>
        <w:t>-</w:t>
      </w:r>
      <w:r w:rsidR="006539B3" w:rsidRPr="00AE5C07">
        <w:rPr>
          <w:rFonts w:ascii="Arial" w:hAnsi="Arial" w:cs="Arial"/>
          <w:sz w:val="24"/>
          <w:szCs w:val="24"/>
        </w:rPr>
        <w:t>in duties.</w:t>
      </w:r>
    </w:p>
    <w:p w:rsidR="001A770F" w:rsidRPr="00AE5C07" w:rsidRDefault="001A770F" w:rsidP="00AE5C07">
      <w:pPr>
        <w:spacing w:after="0"/>
        <w:rPr>
          <w:rFonts w:ascii="Arial" w:hAnsi="Arial" w:cs="Arial"/>
          <w:sz w:val="24"/>
          <w:szCs w:val="24"/>
        </w:rPr>
      </w:pPr>
    </w:p>
    <w:p w:rsidR="006539B3" w:rsidRDefault="006539B3" w:rsidP="00AE5C07">
      <w:p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 xml:space="preserve">The organisation will ensure that any additional risk attached </w:t>
      </w:r>
      <w:r w:rsidR="001A770F" w:rsidRPr="00AE5C07">
        <w:rPr>
          <w:rFonts w:ascii="Arial" w:hAnsi="Arial" w:cs="Arial"/>
          <w:sz w:val="24"/>
          <w:szCs w:val="24"/>
        </w:rPr>
        <w:t xml:space="preserve">to lone working </w:t>
      </w:r>
      <w:r w:rsidRPr="00AE5C07">
        <w:rPr>
          <w:rFonts w:ascii="Arial" w:hAnsi="Arial" w:cs="Arial"/>
          <w:sz w:val="24"/>
          <w:szCs w:val="24"/>
        </w:rPr>
        <w:t>is assessed in a systematic and ongoing manner. All reasonably practicable steps will be undertaken to eliminate or control the level of risk with the introduction of appropriate safeguards.</w:t>
      </w:r>
    </w:p>
    <w:p w:rsidR="001A770F" w:rsidRPr="00AE5C07" w:rsidRDefault="001A770F" w:rsidP="00AE5C07">
      <w:pPr>
        <w:spacing w:after="0"/>
        <w:rPr>
          <w:rFonts w:ascii="Arial" w:hAnsi="Arial" w:cs="Arial"/>
          <w:sz w:val="24"/>
          <w:szCs w:val="24"/>
        </w:rPr>
      </w:pPr>
    </w:p>
    <w:p w:rsidR="006539B3" w:rsidRPr="00AE5C07" w:rsidRDefault="006539B3" w:rsidP="00AE5C07">
      <w:p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 xml:space="preserve">The primary </w:t>
      </w:r>
      <w:r w:rsidR="00EC4D59" w:rsidRPr="00AE5C07">
        <w:rPr>
          <w:rFonts w:ascii="Arial" w:hAnsi="Arial" w:cs="Arial"/>
          <w:sz w:val="24"/>
          <w:szCs w:val="24"/>
        </w:rPr>
        <w:t xml:space="preserve">pieces of </w:t>
      </w:r>
      <w:r w:rsidR="00843BED">
        <w:rPr>
          <w:rFonts w:ascii="Arial" w:hAnsi="Arial" w:cs="Arial"/>
          <w:sz w:val="24"/>
          <w:szCs w:val="24"/>
        </w:rPr>
        <w:t>l</w:t>
      </w:r>
      <w:r w:rsidRPr="00AE5C07">
        <w:rPr>
          <w:rFonts w:ascii="Arial" w:hAnsi="Arial" w:cs="Arial"/>
          <w:sz w:val="24"/>
          <w:szCs w:val="24"/>
        </w:rPr>
        <w:t xml:space="preserve">egislation relevant </w:t>
      </w:r>
      <w:r w:rsidR="00843BED" w:rsidRPr="00843BED">
        <w:rPr>
          <w:rFonts w:ascii="Arial" w:hAnsi="Arial" w:cs="Arial"/>
          <w:sz w:val="24"/>
          <w:szCs w:val="24"/>
        </w:rPr>
        <w:t>to lone working are</w:t>
      </w:r>
      <w:r w:rsidRPr="00AE5C07">
        <w:rPr>
          <w:rFonts w:ascii="Arial" w:hAnsi="Arial" w:cs="Arial"/>
          <w:sz w:val="24"/>
          <w:szCs w:val="24"/>
        </w:rPr>
        <w:t>:</w:t>
      </w:r>
    </w:p>
    <w:p w:rsidR="006539B3" w:rsidRPr="00843BED" w:rsidRDefault="006539B3" w:rsidP="00843BE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843BED">
        <w:rPr>
          <w:rFonts w:ascii="Arial" w:hAnsi="Arial" w:cs="Arial"/>
          <w:sz w:val="24"/>
          <w:szCs w:val="24"/>
        </w:rPr>
        <w:t>Health and Safety at Work Act 1974</w:t>
      </w:r>
    </w:p>
    <w:p w:rsidR="006539B3" w:rsidRPr="00843BED" w:rsidRDefault="00EC4D59" w:rsidP="00843BED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843BED">
        <w:rPr>
          <w:rFonts w:ascii="Arial" w:hAnsi="Arial" w:cs="Arial"/>
          <w:sz w:val="24"/>
          <w:szCs w:val="24"/>
        </w:rPr>
        <w:t xml:space="preserve">Under this, Omega Care </w:t>
      </w:r>
      <w:r w:rsidR="00843BED">
        <w:rPr>
          <w:rFonts w:ascii="Arial" w:hAnsi="Arial" w:cs="Arial"/>
          <w:sz w:val="24"/>
          <w:szCs w:val="24"/>
        </w:rPr>
        <w:t xml:space="preserve">Group </w:t>
      </w:r>
      <w:r w:rsidRPr="00843BED">
        <w:rPr>
          <w:rFonts w:ascii="Arial" w:hAnsi="Arial" w:cs="Arial"/>
          <w:sz w:val="24"/>
          <w:szCs w:val="24"/>
        </w:rPr>
        <w:t>has</w:t>
      </w:r>
      <w:r w:rsidR="006539B3" w:rsidRPr="00843BED">
        <w:rPr>
          <w:rFonts w:ascii="Arial" w:hAnsi="Arial" w:cs="Arial"/>
          <w:sz w:val="24"/>
          <w:szCs w:val="24"/>
        </w:rPr>
        <w:t xml:space="preserve"> a clear legal duty to ensure, as far as is reasonably practicable, the </w:t>
      </w:r>
      <w:r w:rsidR="00843BED" w:rsidRPr="00843BED">
        <w:rPr>
          <w:rFonts w:ascii="Arial" w:hAnsi="Arial" w:cs="Arial"/>
          <w:sz w:val="24"/>
          <w:szCs w:val="24"/>
        </w:rPr>
        <w:t>health</w:t>
      </w:r>
      <w:r w:rsidR="00843BED">
        <w:rPr>
          <w:rFonts w:ascii="Arial" w:hAnsi="Arial" w:cs="Arial"/>
          <w:sz w:val="24"/>
          <w:szCs w:val="24"/>
        </w:rPr>
        <w:t>,</w:t>
      </w:r>
      <w:r w:rsidR="00843BED" w:rsidRPr="00843BED">
        <w:rPr>
          <w:rFonts w:ascii="Arial" w:hAnsi="Arial" w:cs="Arial"/>
          <w:sz w:val="24"/>
          <w:szCs w:val="24"/>
        </w:rPr>
        <w:t xml:space="preserve"> safety </w:t>
      </w:r>
      <w:r w:rsidR="006539B3" w:rsidRPr="00843BED">
        <w:rPr>
          <w:rFonts w:ascii="Arial" w:hAnsi="Arial" w:cs="Arial"/>
          <w:sz w:val="24"/>
          <w:szCs w:val="24"/>
        </w:rPr>
        <w:t xml:space="preserve">and welfare of its employees </w:t>
      </w:r>
      <w:r w:rsidR="00F074F8" w:rsidRPr="00843BED">
        <w:rPr>
          <w:rFonts w:ascii="Arial" w:hAnsi="Arial" w:cs="Arial"/>
          <w:sz w:val="24"/>
          <w:szCs w:val="24"/>
        </w:rPr>
        <w:t>and all tho</w:t>
      </w:r>
      <w:r w:rsidR="006539B3" w:rsidRPr="00843BED">
        <w:rPr>
          <w:rFonts w:ascii="Arial" w:hAnsi="Arial" w:cs="Arial"/>
          <w:sz w:val="24"/>
          <w:szCs w:val="24"/>
        </w:rPr>
        <w:t>se affected by its activities.</w:t>
      </w:r>
      <w:r w:rsidR="00F074F8" w:rsidRPr="00843BED">
        <w:rPr>
          <w:rFonts w:ascii="Arial" w:hAnsi="Arial" w:cs="Arial"/>
          <w:sz w:val="24"/>
          <w:szCs w:val="24"/>
        </w:rPr>
        <w:t xml:space="preserve"> Employees</w:t>
      </w:r>
      <w:r w:rsidRPr="00843BED">
        <w:rPr>
          <w:rFonts w:ascii="Arial" w:hAnsi="Arial" w:cs="Arial"/>
          <w:sz w:val="24"/>
          <w:szCs w:val="24"/>
        </w:rPr>
        <w:t>, under this</w:t>
      </w:r>
      <w:r w:rsidR="00F074F8" w:rsidRPr="00843BED">
        <w:rPr>
          <w:rFonts w:ascii="Arial" w:hAnsi="Arial" w:cs="Arial"/>
          <w:sz w:val="24"/>
          <w:szCs w:val="24"/>
        </w:rPr>
        <w:t xml:space="preserve"> Act, also have a legal responsibility to take all</w:t>
      </w:r>
      <w:r w:rsidR="00843BED">
        <w:rPr>
          <w:rFonts w:ascii="Arial" w:hAnsi="Arial" w:cs="Arial"/>
          <w:sz w:val="24"/>
          <w:szCs w:val="24"/>
        </w:rPr>
        <w:t xml:space="preserve"> reasonable care for their own h</w:t>
      </w:r>
      <w:r w:rsidR="00F074F8" w:rsidRPr="00843BED">
        <w:rPr>
          <w:rFonts w:ascii="Arial" w:hAnsi="Arial" w:cs="Arial"/>
          <w:sz w:val="24"/>
          <w:szCs w:val="24"/>
        </w:rPr>
        <w:t>ealth and safety and for that of other persons who may be affected by their actions or inactions.</w:t>
      </w:r>
    </w:p>
    <w:p w:rsidR="00F074F8" w:rsidRPr="00843BED" w:rsidRDefault="00843BED" w:rsidP="00843BE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Management of Health and S</w:t>
      </w:r>
      <w:r w:rsidR="00F074F8" w:rsidRPr="00843BED">
        <w:rPr>
          <w:rFonts w:ascii="Arial" w:hAnsi="Arial" w:cs="Arial"/>
          <w:sz w:val="24"/>
          <w:szCs w:val="24"/>
        </w:rPr>
        <w:t>afety at Work Regulations 1999.</w:t>
      </w:r>
    </w:p>
    <w:p w:rsidR="00F074F8" w:rsidRDefault="00F074F8" w:rsidP="00843BE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 xml:space="preserve">This places a duty on Omega </w:t>
      </w:r>
      <w:r w:rsidR="00843BED">
        <w:rPr>
          <w:rFonts w:ascii="Arial" w:hAnsi="Arial" w:cs="Arial"/>
          <w:sz w:val="24"/>
          <w:szCs w:val="24"/>
        </w:rPr>
        <w:t>C</w:t>
      </w:r>
      <w:r w:rsidRPr="00AE5C07">
        <w:rPr>
          <w:rFonts w:ascii="Arial" w:hAnsi="Arial" w:cs="Arial"/>
          <w:sz w:val="24"/>
          <w:szCs w:val="24"/>
        </w:rPr>
        <w:t xml:space="preserve">are </w:t>
      </w:r>
      <w:r w:rsidR="00843BED">
        <w:rPr>
          <w:rFonts w:ascii="Arial" w:hAnsi="Arial" w:cs="Arial"/>
          <w:sz w:val="24"/>
          <w:szCs w:val="24"/>
        </w:rPr>
        <w:t xml:space="preserve">Group </w:t>
      </w:r>
      <w:r w:rsidRPr="00AE5C07">
        <w:rPr>
          <w:rFonts w:ascii="Arial" w:hAnsi="Arial" w:cs="Arial"/>
          <w:sz w:val="24"/>
          <w:szCs w:val="24"/>
        </w:rPr>
        <w:t xml:space="preserve">to undertake ‘suitable and sufficient’ Risk Assessments, to ensure as far as is practicable </w:t>
      </w:r>
      <w:r w:rsidR="00843BED" w:rsidRPr="00AE5C07">
        <w:rPr>
          <w:rFonts w:ascii="Arial" w:hAnsi="Arial" w:cs="Arial"/>
          <w:sz w:val="24"/>
          <w:szCs w:val="24"/>
        </w:rPr>
        <w:t>the health</w:t>
      </w:r>
      <w:r w:rsidR="00843BED">
        <w:rPr>
          <w:rFonts w:ascii="Arial" w:hAnsi="Arial" w:cs="Arial"/>
          <w:sz w:val="24"/>
          <w:szCs w:val="24"/>
        </w:rPr>
        <w:t>,</w:t>
      </w:r>
      <w:r w:rsidR="00843BED" w:rsidRPr="00AE5C07">
        <w:rPr>
          <w:rFonts w:ascii="Arial" w:hAnsi="Arial" w:cs="Arial"/>
          <w:sz w:val="24"/>
          <w:szCs w:val="24"/>
        </w:rPr>
        <w:t xml:space="preserve"> safety and welfare of its employees and others affected by its act</w:t>
      </w:r>
      <w:r w:rsidRPr="00AE5C07">
        <w:rPr>
          <w:rFonts w:ascii="Arial" w:hAnsi="Arial" w:cs="Arial"/>
          <w:sz w:val="24"/>
          <w:szCs w:val="24"/>
        </w:rPr>
        <w:t>ivities.</w:t>
      </w:r>
    </w:p>
    <w:p w:rsidR="00843BED" w:rsidRPr="00AE5C07" w:rsidRDefault="00843BED" w:rsidP="00AE5C07">
      <w:pPr>
        <w:spacing w:after="0"/>
        <w:rPr>
          <w:rFonts w:ascii="Arial" w:hAnsi="Arial" w:cs="Arial"/>
          <w:sz w:val="24"/>
          <w:szCs w:val="24"/>
        </w:rPr>
      </w:pPr>
    </w:p>
    <w:p w:rsidR="00F074F8" w:rsidRDefault="00F074F8" w:rsidP="00AE5C07">
      <w:p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 xml:space="preserve">Omega Care </w:t>
      </w:r>
      <w:r w:rsidR="00843BED">
        <w:rPr>
          <w:rFonts w:ascii="Arial" w:hAnsi="Arial" w:cs="Arial"/>
          <w:sz w:val="24"/>
          <w:szCs w:val="24"/>
        </w:rPr>
        <w:t xml:space="preserve">Group </w:t>
      </w:r>
      <w:r w:rsidRPr="00AE5C07">
        <w:rPr>
          <w:rFonts w:ascii="Arial" w:hAnsi="Arial" w:cs="Arial"/>
          <w:sz w:val="24"/>
          <w:szCs w:val="24"/>
        </w:rPr>
        <w:t>has a firm and active commitment to supporting all staff in establishing and maintaining safe working practices.</w:t>
      </w:r>
    </w:p>
    <w:p w:rsidR="00843BED" w:rsidRPr="00AE5C07" w:rsidRDefault="00843BED" w:rsidP="00AE5C07">
      <w:pPr>
        <w:spacing w:after="0"/>
        <w:rPr>
          <w:rFonts w:ascii="Arial" w:hAnsi="Arial" w:cs="Arial"/>
          <w:sz w:val="24"/>
          <w:szCs w:val="24"/>
        </w:rPr>
      </w:pPr>
    </w:p>
    <w:p w:rsidR="00F074F8" w:rsidRPr="00AE5C07" w:rsidRDefault="00F074F8" w:rsidP="00AE5C07">
      <w:p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lastRenderedPageBreak/>
        <w:t>This includes:</w:t>
      </w:r>
    </w:p>
    <w:p w:rsidR="00F074F8" w:rsidRPr="00AE5C07" w:rsidRDefault="00F074F8" w:rsidP="00AE5C0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>Recognising, addressing and eliminating or reducing identified risks.</w:t>
      </w:r>
    </w:p>
    <w:p w:rsidR="00F074F8" w:rsidRPr="00AE5C07" w:rsidRDefault="00F074F8" w:rsidP="00AE5C0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 xml:space="preserve">The provision of appropriate support </w:t>
      </w:r>
      <w:r w:rsidR="00EC4D59" w:rsidRPr="00AE5C07">
        <w:rPr>
          <w:rFonts w:ascii="Arial" w:hAnsi="Arial" w:cs="Arial"/>
          <w:sz w:val="24"/>
          <w:szCs w:val="24"/>
        </w:rPr>
        <w:t xml:space="preserve">mechanisms </w:t>
      </w:r>
      <w:r w:rsidRPr="00AE5C07">
        <w:rPr>
          <w:rFonts w:ascii="Arial" w:hAnsi="Arial" w:cs="Arial"/>
          <w:sz w:val="24"/>
          <w:szCs w:val="24"/>
        </w:rPr>
        <w:t>for staff</w:t>
      </w:r>
      <w:r w:rsidR="00EC4D59" w:rsidRPr="00AE5C07">
        <w:rPr>
          <w:rFonts w:ascii="Arial" w:hAnsi="Arial" w:cs="Arial"/>
          <w:sz w:val="24"/>
          <w:szCs w:val="24"/>
        </w:rPr>
        <w:t>.</w:t>
      </w:r>
    </w:p>
    <w:p w:rsidR="00EC4D59" w:rsidRPr="00AE5C07" w:rsidRDefault="00EC4D59" w:rsidP="00AE5C0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>Valuing the individual over property.</w:t>
      </w:r>
    </w:p>
    <w:p w:rsidR="00EC4D59" w:rsidRPr="00AE5C07" w:rsidRDefault="00EC4D59" w:rsidP="00AE5C0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>A clear understanding of responsibilities and duties.</w:t>
      </w:r>
    </w:p>
    <w:p w:rsidR="00EC4D59" w:rsidRPr="00AE5C07" w:rsidRDefault="00EC4D59" w:rsidP="00AE5C0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>The provision of appropriate training for all staff members.</w:t>
      </w:r>
    </w:p>
    <w:p w:rsidR="00EC4D59" w:rsidRPr="00AE5C07" w:rsidRDefault="00EC4D59" w:rsidP="00AE5C0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>The provision of all appropriate equipment.</w:t>
      </w:r>
    </w:p>
    <w:p w:rsidR="00EC4D59" w:rsidRDefault="00B76B92" w:rsidP="00AE5C0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 xml:space="preserve">Creating an operational </w:t>
      </w:r>
      <w:r w:rsidR="00EC4D59" w:rsidRPr="00AE5C07">
        <w:rPr>
          <w:rFonts w:ascii="Arial" w:hAnsi="Arial" w:cs="Arial"/>
          <w:sz w:val="24"/>
          <w:szCs w:val="24"/>
        </w:rPr>
        <w:t>culture of full and transparent reporting.</w:t>
      </w:r>
    </w:p>
    <w:p w:rsidR="00843BED" w:rsidRPr="00AE5C07" w:rsidRDefault="00843BED" w:rsidP="00843BED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B76B92" w:rsidRPr="00AE5C07" w:rsidRDefault="00B76B92" w:rsidP="00AE5C07">
      <w:p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 xml:space="preserve">Omega Care </w:t>
      </w:r>
      <w:r w:rsidR="00843BED">
        <w:rPr>
          <w:rFonts w:ascii="Arial" w:hAnsi="Arial" w:cs="Arial"/>
          <w:sz w:val="24"/>
          <w:szCs w:val="24"/>
        </w:rPr>
        <w:t xml:space="preserve">Group, </w:t>
      </w:r>
      <w:r w:rsidRPr="00AE5C07">
        <w:rPr>
          <w:rFonts w:ascii="Arial" w:hAnsi="Arial" w:cs="Arial"/>
          <w:sz w:val="24"/>
          <w:szCs w:val="24"/>
        </w:rPr>
        <w:t xml:space="preserve">through its management team, and specifically through its Health and </w:t>
      </w:r>
      <w:r w:rsidR="00843BED">
        <w:rPr>
          <w:rFonts w:ascii="Arial" w:hAnsi="Arial" w:cs="Arial"/>
          <w:sz w:val="24"/>
          <w:szCs w:val="24"/>
        </w:rPr>
        <w:t>S</w:t>
      </w:r>
      <w:r w:rsidRPr="00AE5C07">
        <w:rPr>
          <w:rFonts w:ascii="Arial" w:hAnsi="Arial" w:cs="Arial"/>
          <w:sz w:val="24"/>
          <w:szCs w:val="24"/>
        </w:rPr>
        <w:t>afety Officer will:</w:t>
      </w:r>
    </w:p>
    <w:p w:rsidR="00B76B92" w:rsidRPr="00AE5C07" w:rsidRDefault="00B76B92" w:rsidP="00AE5C0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 xml:space="preserve">Ensure suitable and </w:t>
      </w:r>
      <w:r w:rsidR="00843BED" w:rsidRPr="00AE5C07">
        <w:rPr>
          <w:rFonts w:ascii="Arial" w:hAnsi="Arial" w:cs="Arial"/>
          <w:sz w:val="24"/>
          <w:szCs w:val="24"/>
        </w:rPr>
        <w:t xml:space="preserve">sufficient lone working </w:t>
      </w:r>
      <w:r w:rsidR="00843BED">
        <w:rPr>
          <w:rFonts w:ascii="Arial" w:hAnsi="Arial" w:cs="Arial"/>
          <w:sz w:val="24"/>
          <w:szCs w:val="24"/>
        </w:rPr>
        <w:t>Risk A</w:t>
      </w:r>
      <w:r w:rsidRPr="00AE5C07">
        <w:rPr>
          <w:rFonts w:ascii="Arial" w:hAnsi="Arial" w:cs="Arial"/>
          <w:sz w:val="24"/>
          <w:szCs w:val="24"/>
        </w:rPr>
        <w:t>ssessments are undertaken, actioned, monitored and reviewed (see Appendix 1- Lone Working Risk Assessment Sheet).</w:t>
      </w:r>
    </w:p>
    <w:p w:rsidR="00B76B92" w:rsidRPr="00AE5C07" w:rsidRDefault="00B76B92" w:rsidP="00AE5C0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>Display in all unit</w:t>
      </w:r>
      <w:r w:rsidR="00843BED">
        <w:rPr>
          <w:rFonts w:ascii="Arial" w:hAnsi="Arial" w:cs="Arial"/>
          <w:sz w:val="24"/>
          <w:szCs w:val="24"/>
        </w:rPr>
        <w:t xml:space="preserve"> offices, a clear hierarchy of r</w:t>
      </w:r>
      <w:r w:rsidRPr="00AE5C07">
        <w:rPr>
          <w:rFonts w:ascii="Arial" w:hAnsi="Arial" w:cs="Arial"/>
          <w:sz w:val="24"/>
          <w:szCs w:val="24"/>
        </w:rPr>
        <w:t>esponsibilities and all appropriate emergency contacts.</w:t>
      </w:r>
    </w:p>
    <w:p w:rsidR="00B76B92" w:rsidRPr="00AE5C07" w:rsidRDefault="00DB45B4" w:rsidP="00AE5C0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>Operate an on</w:t>
      </w:r>
      <w:r w:rsidR="00843BED">
        <w:rPr>
          <w:rFonts w:ascii="Arial" w:hAnsi="Arial" w:cs="Arial"/>
          <w:sz w:val="24"/>
          <w:szCs w:val="24"/>
        </w:rPr>
        <w:t>-</w:t>
      </w:r>
      <w:r w:rsidRPr="00AE5C07">
        <w:rPr>
          <w:rFonts w:ascii="Arial" w:hAnsi="Arial" w:cs="Arial"/>
          <w:sz w:val="24"/>
          <w:szCs w:val="24"/>
        </w:rPr>
        <w:t>call management support system and ensure all information is relevant and current.</w:t>
      </w:r>
    </w:p>
    <w:p w:rsidR="00DB45B4" w:rsidRPr="00AE5C07" w:rsidRDefault="00DB45B4" w:rsidP="00AE5C0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 xml:space="preserve">Establish and train all staff </w:t>
      </w:r>
      <w:r w:rsidR="00843BED" w:rsidRPr="00AE5C07">
        <w:rPr>
          <w:rFonts w:ascii="Arial" w:hAnsi="Arial" w:cs="Arial"/>
          <w:sz w:val="24"/>
          <w:szCs w:val="24"/>
        </w:rPr>
        <w:t>in emergency procedures</w:t>
      </w:r>
      <w:r w:rsidRPr="00AE5C07">
        <w:rPr>
          <w:rFonts w:ascii="Arial" w:hAnsi="Arial" w:cs="Arial"/>
          <w:sz w:val="24"/>
          <w:szCs w:val="24"/>
        </w:rPr>
        <w:t>.</w:t>
      </w:r>
    </w:p>
    <w:p w:rsidR="00DB45B4" w:rsidRPr="00AE5C07" w:rsidRDefault="00DB45B4" w:rsidP="00AE5C0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>Ensure staff have received all relevant training and are able to demonstrate competency.</w:t>
      </w:r>
    </w:p>
    <w:p w:rsidR="00DB45B4" w:rsidRPr="00AE5C07" w:rsidRDefault="00DB45B4" w:rsidP="00AE5C0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>Provide effective supervision and the offer of staff support systems.</w:t>
      </w:r>
    </w:p>
    <w:p w:rsidR="00DB45B4" w:rsidRPr="00AE5C07" w:rsidRDefault="00DB45B4" w:rsidP="00AE5C0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>Ensure staff have received training in defusing and distraction techniques.</w:t>
      </w:r>
    </w:p>
    <w:p w:rsidR="00DB45B4" w:rsidRPr="00AE5C07" w:rsidRDefault="00DB45B4" w:rsidP="00AE5C0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>Use CCTV within shared areas as a means of safeguarding staff and others.</w:t>
      </w:r>
    </w:p>
    <w:p w:rsidR="00DB45B4" w:rsidRPr="00AE5C07" w:rsidRDefault="00843BED" w:rsidP="00AE5C0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Operate clear procedures regarding</w:t>
      </w:r>
      <w:r w:rsidR="00DB45B4" w:rsidRPr="00AE5C07">
        <w:rPr>
          <w:rFonts w:ascii="Arial" w:hAnsi="Arial" w:cs="Arial"/>
          <w:sz w:val="24"/>
          <w:szCs w:val="24"/>
        </w:rPr>
        <w:t xml:space="preserve"> visitors to the unit</w:t>
      </w:r>
      <w:r>
        <w:rPr>
          <w:rFonts w:ascii="Arial" w:hAnsi="Arial" w:cs="Arial"/>
          <w:sz w:val="24"/>
          <w:szCs w:val="24"/>
        </w:rPr>
        <w:t xml:space="preserve">, </w:t>
      </w:r>
      <w:r w:rsidR="00DB45B4" w:rsidRPr="00AE5C07">
        <w:rPr>
          <w:rFonts w:ascii="Arial" w:hAnsi="Arial" w:cs="Arial"/>
          <w:sz w:val="24"/>
          <w:szCs w:val="24"/>
        </w:rPr>
        <w:t>both adults and young people (see Appendix 2</w:t>
      </w:r>
      <w:r>
        <w:rPr>
          <w:rFonts w:ascii="Arial" w:hAnsi="Arial" w:cs="Arial"/>
          <w:sz w:val="24"/>
          <w:szCs w:val="24"/>
        </w:rPr>
        <w:t xml:space="preserve"> </w:t>
      </w:r>
      <w:r w:rsidR="00DB45B4" w:rsidRPr="00AE5C0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v</w:t>
      </w:r>
      <w:r w:rsidR="00DB45B4" w:rsidRPr="00AE5C07">
        <w:rPr>
          <w:rFonts w:ascii="Arial" w:hAnsi="Arial" w:cs="Arial"/>
          <w:sz w:val="24"/>
          <w:szCs w:val="24"/>
        </w:rPr>
        <w:t>isitors to unit)</w:t>
      </w:r>
    </w:p>
    <w:p w:rsidR="00DB45B4" w:rsidRPr="00AE5C07" w:rsidRDefault="00DB45B4" w:rsidP="00AE5C0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>Support safer working practices.</w:t>
      </w:r>
    </w:p>
    <w:p w:rsidR="00DB45B4" w:rsidRPr="00AE5C07" w:rsidRDefault="00DB45B4" w:rsidP="00AE5C0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 xml:space="preserve">Ensure the provision of </w:t>
      </w:r>
      <w:r w:rsidR="00843BED">
        <w:rPr>
          <w:rFonts w:ascii="Arial" w:hAnsi="Arial" w:cs="Arial"/>
          <w:sz w:val="24"/>
          <w:szCs w:val="24"/>
        </w:rPr>
        <w:t>first</w:t>
      </w:r>
      <w:r w:rsidRPr="00AE5C07">
        <w:rPr>
          <w:rFonts w:ascii="Arial" w:hAnsi="Arial" w:cs="Arial"/>
          <w:sz w:val="24"/>
          <w:szCs w:val="24"/>
        </w:rPr>
        <w:t xml:space="preserve"> aid facilities.</w:t>
      </w:r>
    </w:p>
    <w:p w:rsidR="00DB45B4" w:rsidRPr="00AE5C07" w:rsidRDefault="00DB45B4" w:rsidP="00AE5C0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>Ensure the u</w:t>
      </w:r>
      <w:r w:rsidR="00A60962" w:rsidRPr="00AE5C07">
        <w:rPr>
          <w:rFonts w:ascii="Arial" w:hAnsi="Arial" w:cs="Arial"/>
          <w:sz w:val="24"/>
          <w:szCs w:val="24"/>
        </w:rPr>
        <w:t>nit has a functioning land line</w:t>
      </w:r>
      <w:r w:rsidRPr="00AE5C07">
        <w:rPr>
          <w:rFonts w:ascii="Arial" w:hAnsi="Arial" w:cs="Arial"/>
          <w:sz w:val="24"/>
          <w:szCs w:val="24"/>
        </w:rPr>
        <w:t xml:space="preserve"> and that </w:t>
      </w:r>
      <w:r w:rsidR="00A60962" w:rsidRPr="00AE5C07">
        <w:rPr>
          <w:rFonts w:ascii="Arial" w:hAnsi="Arial" w:cs="Arial"/>
          <w:sz w:val="24"/>
          <w:szCs w:val="24"/>
        </w:rPr>
        <w:t>there is a unit mobile.</w:t>
      </w:r>
    </w:p>
    <w:p w:rsidR="00A60962" w:rsidRPr="00AE5C07" w:rsidRDefault="00A60962" w:rsidP="00AE5C0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>Operate within the organisation</w:t>
      </w:r>
      <w:r w:rsidR="00843BED">
        <w:rPr>
          <w:rFonts w:ascii="Arial" w:hAnsi="Arial" w:cs="Arial"/>
          <w:sz w:val="24"/>
          <w:szCs w:val="24"/>
        </w:rPr>
        <w:t>’</w:t>
      </w:r>
      <w:r w:rsidRPr="00AE5C07">
        <w:rPr>
          <w:rFonts w:ascii="Arial" w:hAnsi="Arial" w:cs="Arial"/>
          <w:sz w:val="24"/>
          <w:szCs w:val="24"/>
        </w:rPr>
        <w:t>s security protocols and ensure access to the unit is controlled.</w:t>
      </w:r>
    </w:p>
    <w:p w:rsidR="00A60962" w:rsidRPr="00AE5C07" w:rsidRDefault="00A60962" w:rsidP="00AE5C0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 xml:space="preserve">Ensure effective functioning and operation of </w:t>
      </w:r>
      <w:r w:rsidR="00843BED" w:rsidRPr="00AE5C07">
        <w:rPr>
          <w:rFonts w:ascii="Arial" w:hAnsi="Arial" w:cs="Arial"/>
          <w:sz w:val="24"/>
          <w:szCs w:val="24"/>
        </w:rPr>
        <w:t xml:space="preserve">the fire alarm </w:t>
      </w:r>
      <w:r w:rsidRPr="00AE5C07">
        <w:rPr>
          <w:rFonts w:ascii="Arial" w:hAnsi="Arial" w:cs="Arial"/>
          <w:sz w:val="24"/>
          <w:szCs w:val="24"/>
        </w:rPr>
        <w:t>system.</w:t>
      </w:r>
    </w:p>
    <w:p w:rsidR="00A60962" w:rsidRPr="00AE5C07" w:rsidRDefault="00A60962" w:rsidP="00AE5C0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>Provide alternatives to raise alarms if system fails.</w:t>
      </w:r>
    </w:p>
    <w:p w:rsidR="00A60962" w:rsidRPr="00AE5C07" w:rsidRDefault="00843BED" w:rsidP="00AE5C0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f</w:t>
      </w:r>
      <w:r w:rsidR="00A60962" w:rsidRPr="00AE5C07">
        <w:rPr>
          <w:rFonts w:ascii="Arial" w:hAnsi="Arial" w:cs="Arial"/>
          <w:sz w:val="24"/>
          <w:szCs w:val="24"/>
        </w:rPr>
        <w:t>ire risk assessments are current and monitored.</w:t>
      </w:r>
    </w:p>
    <w:p w:rsidR="00A60962" w:rsidRPr="00AE5C07" w:rsidRDefault="00A60962" w:rsidP="00AE5C0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>Ensure currency of young peoples’ Risk Assessments including identification of triggers, responses, coping mechanisms and any historical context.</w:t>
      </w:r>
    </w:p>
    <w:p w:rsidR="00A60962" w:rsidRPr="00AE5C07" w:rsidRDefault="00A60962" w:rsidP="00AE5C0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>Put in place and make access</w:t>
      </w:r>
      <w:r w:rsidR="00843BED">
        <w:rPr>
          <w:rFonts w:ascii="Arial" w:hAnsi="Arial" w:cs="Arial"/>
          <w:sz w:val="24"/>
          <w:szCs w:val="24"/>
        </w:rPr>
        <w:t xml:space="preserve">ible to all staff a ‘Stress </w:t>
      </w:r>
      <w:proofErr w:type="gramStart"/>
      <w:r w:rsidR="00843BED">
        <w:rPr>
          <w:rFonts w:ascii="Arial" w:hAnsi="Arial" w:cs="Arial"/>
          <w:sz w:val="24"/>
          <w:szCs w:val="24"/>
        </w:rPr>
        <w:t>At</w:t>
      </w:r>
      <w:proofErr w:type="gramEnd"/>
      <w:r w:rsidR="00843BED">
        <w:rPr>
          <w:rFonts w:ascii="Arial" w:hAnsi="Arial" w:cs="Arial"/>
          <w:sz w:val="24"/>
          <w:szCs w:val="24"/>
        </w:rPr>
        <w:t xml:space="preserve"> Work’ p</w:t>
      </w:r>
      <w:r w:rsidRPr="00AE5C07">
        <w:rPr>
          <w:rFonts w:ascii="Arial" w:hAnsi="Arial" w:cs="Arial"/>
          <w:sz w:val="24"/>
          <w:szCs w:val="24"/>
        </w:rPr>
        <w:t>olicy.</w:t>
      </w:r>
    </w:p>
    <w:p w:rsidR="00A60962" w:rsidRPr="00AE5C07" w:rsidRDefault="00A60962" w:rsidP="00AE5C0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AE5C07">
        <w:rPr>
          <w:rFonts w:ascii="Arial" w:hAnsi="Arial" w:cs="Arial"/>
          <w:sz w:val="24"/>
          <w:szCs w:val="24"/>
        </w:rPr>
        <w:t xml:space="preserve">Operate a </w:t>
      </w:r>
      <w:r w:rsidR="00843BED" w:rsidRPr="00AE5C07">
        <w:rPr>
          <w:rFonts w:ascii="Arial" w:hAnsi="Arial" w:cs="Arial"/>
          <w:sz w:val="24"/>
          <w:szCs w:val="24"/>
        </w:rPr>
        <w:t xml:space="preserve">clear emergency evacuation procedure </w:t>
      </w:r>
      <w:r w:rsidRPr="00AE5C07">
        <w:rPr>
          <w:rFonts w:ascii="Arial" w:hAnsi="Arial" w:cs="Arial"/>
          <w:sz w:val="24"/>
          <w:szCs w:val="24"/>
        </w:rPr>
        <w:t>and train all staff in its use.</w:t>
      </w:r>
    </w:p>
    <w:p w:rsidR="00A60962" w:rsidRDefault="00843BED" w:rsidP="00AE5C0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Undertake specific Risk A</w:t>
      </w:r>
      <w:r w:rsidR="002008A2" w:rsidRPr="00AE5C07">
        <w:rPr>
          <w:rFonts w:ascii="Arial" w:hAnsi="Arial" w:cs="Arial"/>
          <w:sz w:val="24"/>
          <w:szCs w:val="24"/>
        </w:rPr>
        <w:t>ssessments relating to individual staff circumstances e</w:t>
      </w:r>
      <w:r>
        <w:rPr>
          <w:rFonts w:ascii="Arial" w:hAnsi="Arial" w:cs="Arial"/>
          <w:sz w:val="24"/>
          <w:szCs w:val="24"/>
        </w:rPr>
        <w:t>.</w:t>
      </w:r>
      <w:r w:rsidR="002008A2" w:rsidRPr="00AE5C07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.</w:t>
      </w:r>
      <w:r w:rsidR="002008A2" w:rsidRPr="00AE5C07">
        <w:rPr>
          <w:rFonts w:ascii="Arial" w:hAnsi="Arial" w:cs="Arial"/>
          <w:sz w:val="24"/>
          <w:szCs w:val="24"/>
        </w:rPr>
        <w:t xml:space="preserve"> for members of staff who are pregnant or who are new mothers.</w:t>
      </w:r>
    </w:p>
    <w:p w:rsidR="00C71CA3" w:rsidRDefault="00C71C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71CA3" w:rsidRDefault="00C71CA3" w:rsidP="00C71CA3">
      <w:pPr>
        <w:pStyle w:val="ListParagraph"/>
        <w:spacing w:after="0"/>
        <w:rPr>
          <w:rFonts w:ascii="Arial" w:hAnsi="Arial" w:cs="Arial"/>
          <w:sz w:val="24"/>
          <w:szCs w:val="24"/>
        </w:rPr>
        <w:sectPr w:rsidR="00C71CA3" w:rsidSect="00AE5C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page" w:horzAnchor="margin" w:tblpXSpec="center" w:tblpY="1816"/>
        <w:tblW w:w="15276" w:type="dxa"/>
        <w:tblInd w:w="0" w:type="dxa"/>
        <w:tblLook w:val="04A0" w:firstRow="1" w:lastRow="0" w:firstColumn="1" w:lastColumn="0" w:noHBand="0" w:noVBand="1"/>
      </w:tblPr>
      <w:tblGrid>
        <w:gridCol w:w="3510"/>
        <w:gridCol w:w="1124"/>
        <w:gridCol w:w="1161"/>
        <w:gridCol w:w="1652"/>
        <w:gridCol w:w="3718"/>
        <w:gridCol w:w="1417"/>
        <w:gridCol w:w="1561"/>
        <w:gridCol w:w="1133"/>
      </w:tblGrid>
      <w:tr w:rsidR="00C71CA3" w:rsidRPr="00C71CA3" w:rsidTr="00C71CA3">
        <w:tc>
          <w:tcPr>
            <w:tcW w:w="74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C71CA3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C7460D" wp14:editId="3D6581A8">
                      <wp:simplePos x="0" y="0"/>
                      <wp:positionH relativeFrom="column">
                        <wp:posOffset>4636135</wp:posOffset>
                      </wp:positionH>
                      <wp:positionV relativeFrom="paragraph">
                        <wp:posOffset>3175</wp:posOffset>
                      </wp:positionV>
                      <wp:extent cx="0" cy="5191125"/>
                      <wp:effectExtent l="6985" t="12700" r="12065" b="635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191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0738F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365.05pt;margin-top:.25pt;width:0;height:40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"/>
                  </w:pict>
                </mc:Fallback>
              </mc:AlternateContent>
            </w:r>
            <w:r w:rsidRPr="00C71CA3">
              <w:rPr>
                <w:b/>
                <w:sz w:val="28"/>
                <w:szCs w:val="28"/>
              </w:rPr>
              <w:t>Assessed level of risk</w:t>
            </w:r>
          </w:p>
        </w:tc>
        <w:tc>
          <w:tcPr>
            <w:tcW w:w="7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C71CA3">
              <w:rPr>
                <w:b/>
                <w:sz w:val="28"/>
                <w:szCs w:val="28"/>
              </w:rPr>
              <w:t>Safeguards and Control</w:t>
            </w:r>
          </w:p>
        </w:tc>
      </w:tr>
      <w:tr w:rsidR="00C71CA3" w:rsidRPr="00C71CA3" w:rsidTr="00C71CA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  <w:jc w:val="center"/>
              <w:rPr>
                <w:b/>
              </w:rPr>
            </w:pPr>
            <w:r w:rsidRPr="00C71CA3">
              <w:rPr>
                <w:b/>
              </w:rPr>
              <w:t>Identified Hazard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  <w:jc w:val="center"/>
              <w:rPr>
                <w:b/>
              </w:rPr>
            </w:pPr>
            <w:r w:rsidRPr="00C71CA3">
              <w:rPr>
                <w:b/>
              </w:rPr>
              <w:t>Impact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  <w:jc w:val="center"/>
              <w:rPr>
                <w:b/>
              </w:rPr>
            </w:pPr>
            <w:r w:rsidRPr="00C71CA3">
              <w:rPr>
                <w:b/>
              </w:rPr>
              <w:t>Likelihood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  <w:jc w:val="center"/>
              <w:rPr>
                <w:b/>
              </w:rPr>
            </w:pPr>
            <w:r w:rsidRPr="00C71CA3">
              <w:rPr>
                <w:b/>
              </w:rPr>
              <w:t>Risk Rating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  <w:jc w:val="center"/>
              <w:rPr>
                <w:b/>
              </w:rPr>
            </w:pPr>
            <w:r w:rsidRPr="00C71CA3">
              <w:rPr>
                <w:b/>
              </w:rPr>
              <w:t>Controls in Place/ to be implemented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  <w:jc w:val="center"/>
              <w:rPr>
                <w:b/>
              </w:rPr>
            </w:pPr>
            <w:r w:rsidRPr="00C71CA3">
              <w:rPr>
                <w:b/>
              </w:rPr>
              <w:t>Revised Risk rating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  <w:jc w:val="center"/>
              <w:rPr>
                <w:b/>
              </w:rPr>
            </w:pPr>
            <w:r w:rsidRPr="00C71CA3">
              <w:rPr>
                <w:b/>
              </w:rPr>
              <w:t>Other Actions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  <w:jc w:val="center"/>
              <w:rPr>
                <w:b/>
              </w:rPr>
            </w:pPr>
            <w:r w:rsidRPr="00C71CA3">
              <w:rPr>
                <w:b/>
              </w:rPr>
              <w:t>Review</w:t>
            </w:r>
          </w:p>
        </w:tc>
      </w:tr>
      <w:tr w:rsidR="00C71CA3" w:rsidRPr="00C71CA3" w:rsidTr="00C71CA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</w:pPr>
            <w:r w:rsidRPr="00C71CA3">
              <w:t>Accidents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</w:tr>
      <w:tr w:rsidR="00C71CA3" w:rsidRPr="00C71CA3" w:rsidTr="00C71CA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</w:pPr>
            <w:r w:rsidRPr="00C71CA3">
              <w:t>Allegations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</w:pPr>
            <w:r w:rsidRPr="00C71CA3">
              <w:t>Re: Allegation policy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</w:tr>
      <w:tr w:rsidR="00C71CA3" w:rsidRPr="00C71CA3" w:rsidTr="00C71CA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</w:pPr>
            <w:r w:rsidRPr="00C71CA3">
              <w:t>Communication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</w:tr>
      <w:tr w:rsidR="00C71CA3" w:rsidRPr="00C71CA3" w:rsidTr="00C71CA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</w:pPr>
            <w:r w:rsidRPr="00C71CA3">
              <w:t xml:space="preserve">Control of Medication 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</w:tr>
      <w:tr w:rsidR="00C71CA3" w:rsidRPr="00C71CA3" w:rsidTr="00C71CA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</w:pPr>
            <w:r w:rsidRPr="00C71CA3">
              <w:t xml:space="preserve">Damage to Building 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</w:tr>
      <w:tr w:rsidR="00C71CA3" w:rsidRPr="00C71CA3" w:rsidTr="00C71CA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</w:pPr>
            <w:r w:rsidRPr="00C71CA3">
              <w:t>Disruptive Behaviours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</w:tr>
      <w:tr w:rsidR="00C71CA3" w:rsidRPr="00C71CA3" w:rsidTr="00C71CA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</w:pPr>
            <w:r w:rsidRPr="00C71CA3">
              <w:t>Equipment malfunctions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</w:tr>
      <w:tr w:rsidR="00C71CA3" w:rsidRPr="00C71CA3" w:rsidTr="00C71CA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</w:pPr>
            <w:r w:rsidRPr="00C71CA3">
              <w:t>Expectant/New Mother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</w:pPr>
            <w:r w:rsidRPr="00C71CA3">
              <w:t xml:space="preserve">Ref: Expectant/New </w:t>
            </w:r>
            <w:proofErr w:type="gramStart"/>
            <w:r w:rsidRPr="00C71CA3">
              <w:t>mothers</w:t>
            </w:r>
            <w:proofErr w:type="gramEnd"/>
            <w:r w:rsidRPr="00C71CA3">
              <w:t xml:space="preserve"> RA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</w:tr>
      <w:tr w:rsidR="00C71CA3" w:rsidRPr="00C71CA3" w:rsidTr="00C71CA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</w:pPr>
            <w:r w:rsidRPr="00C71CA3">
              <w:t>Fire/Emergency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</w:pPr>
            <w:r w:rsidRPr="00C71CA3">
              <w:t>Ref: Emergency Evacuation Procedures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</w:tr>
      <w:tr w:rsidR="00C71CA3" w:rsidRPr="00C71CA3" w:rsidTr="00C71CA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</w:pPr>
            <w:r w:rsidRPr="00C71CA3">
              <w:t>Mains Services Failure/Damage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</w:tr>
      <w:tr w:rsidR="00C71CA3" w:rsidRPr="00C71CA3" w:rsidTr="00C71CA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</w:pPr>
            <w:r w:rsidRPr="00C71CA3">
              <w:t>Medical Emergency – Staff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</w:tr>
      <w:tr w:rsidR="00C71CA3" w:rsidRPr="00C71CA3" w:rsidTr="00C71CA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</w:pPr>
            <w:r w:rsidRPr="00C71CA3">
              <w:t>Medical Emergency – Y/P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</w:tr>
      <w:tr w:rsidR="00C71CA3" w:rsidRPr="00C71CA3" w:rsidTr="00C71CA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</w:pPr>
            <w:r w:rsidRPr="00C71CA3">
              <w:t xml:space="preserve">Recording events/incidents 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</w:tr>
      <w:tr w:rsidR="00C71CA3" w:rsidRPr="00C71CA3" w:rsidTr="00C71CA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</w:pPr>
            <w:r w:rsidRPr="00C71CA3">
              <w:t xml:space="preserve">Risks Re: </w:t>
            </w:r>
            <w:proofErr w:type="gramStart"/>
            <w:r w:rsidRPr="00C71CA3">
              <w:t>Particular individuals</w:t>
            </w:r>
            <w:proofErr w:type="gramEnd"/>
            <w:r w:rsidRPr="00C71CA3">
              <w:t xml:space="preserve"> (Staff)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</w:tr>
      <w:tr w:rsidR="00C71CA3" w:rsidRPr="00C71CA3" w:rsidTr="00C71CA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</w:pPr>
            <w:r w:rsidRPr="00C71CA3">
              <w:t>Stress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</w:pPr>
            <w:r w:rsidRPr="00C71CA3">
              <w:t>Ref: Stress Management Policy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</w:tr>
      <w:tr w:rsidR="00C71CA3" w:rsidRPr="00C71CA3" w:rsidTr="00C71CA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</w:pPr>
            <w:r w:rsidRPr="00C71CA3">
              <w:t>Suitability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</w:tr>
      <w:tr w:rsidR="00C71CA3" w:rsidRPr="00C71CA3" w:rsidTr="00C71CA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</w:pPr>
            <w:r w:rsidRPr="00C71CA3">
              <w:t>Supervisions/Support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</w:tr>
      <w:tr w:rsidR="00C71CA3" w:rsidRPr="00C71CA3" w:rsidTr="00C71CA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</w:pPr>
            <w:r w:rsidRPr="00C71CA3">
              <w:t>Violence and/or aggression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</w:pPr>
            <w:r w:rsidRPr="00C71CA3">
              <w:t>Ref: Violence at Work Policy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</w:tr>
      <w:tr w:rsidR="00C71CA3" w:rsidRPr="00C71CA3" w:rsidTr="00C71CA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</w:pPr>
            <w:r w:rsidRPr="00C71CA3">
              <w:t>Y/P related intervention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</w:tr>
      <w:tr w:rsidR="00C71CA3" w:rsidRPr="00C71CA3" w:rsidTr="00C71CA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A3" w:rsidRPr="00C71CA3" w:rsidRDefault="00C71CA3" w:rsidP="00C71CA3">
            <w:pPr>
              <w:spacing w:before="40" w:after="40"/>
            </w:pPr>
            <w:r w:rsidRPr="00C71CA3">
              <w:t xml:space="preserve">Other 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A3" w:rsidRPr="00C71CA3" w:rsidRDefault="00C71CA3" w:rsidP="00C71CA3">
            <w:pPr>
              <w:spacing w:before="40" w:after="40"/>
            </w:pPr>
          </w:p>
        </w:tc>
      </w:tr>
    </w:tbl>
    <w:p w:rsidR="00C71CA3" w:rsidRPr="00C71CA3" w:rsidRDefault="00C71CA3" w:rsidP="00C71CA3">
      <w:pPr>
        <w:spacing w:before="40" w:after="40" w:line="256" w:lineRule="auto"/>
        <w:rPr>
          <w:rFonts w:ascii="Calibri" w:eastAsia="Calibri" w:hAnsi="Calibri" w:cs="Times New Roman"/>
        </w:rPr>
      </w:pPr>
    </w:p>
    <w:p w:rsidR="00A60962" w:rsidRPr="00AE5C07" w:rsidRDefault="00A60962" w:rsidP="00AE5C07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60962" w:rsidRPr="00AE5C07" w:rsidSect="00C71CA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677A6"/>
    <w:multiLevelType w:val="hybridMultilevel"/>
    <w:tmpl w:val="704A504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E7344"/>
    <w:multiLevelType w:val="hybridMultilevel"/>
    <w:tmpl w:val="8662C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47205"/>
    <w:multiLevelType w:val="hybridMultilevel"/>
    <w:tmpl w:val="49443F2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2A5"/>
    <w:rsid w:val="00112CC3"/>
    <w:rsid w:val="001A770F"/>
    <w:rsid w:val="002008A2"/>
    <w:rsid w:val="006539B3"/>
    <w:rsid w:val="007212A5"/>
    <w:rsid w:val="00843BED"/>
    <w:rsid w:val="00880B19"/>
    <w:rsid w:val="008D1CB9"/>
    <w:rsid w:val="00A60962"/>
    <w:rsid w:val="00AE5C07"/>
    <w:rsid w:val="00B76B92"/>
    <w:rsid w:val="00C71CA3"/>
    <w:rsid w:val="00CB6894"/>
    <w:rsid w:val="00DB45B4"/>
    <w:rsid w:val="00EC4D59"/>
    <w:rsid w:val="00F0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3424"/>
  <w15:docId w15:val="{56573833-68DB-4002-B58F-9ED7B03F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4F8"/>
    <w:pPr>
      <w:ind w:left="720"/>
      <w:contextualSpacing/>
    </w:pPr>
  </w:style>
  <w:style w:type="table" w:styleId="TableGrid">
    <w:name w:val="Table Grid"/>
    <w:basedOn w:val="TableNormal"/>
    <w:uiPriority w:val="39"/>
    <w:rsid w:val="00C71CA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aardvark</dc:creator>
  <cp:lastModifiedBy>Alekos Aresti</cp:lastModifiedBy>
  <cp:revision>8</cp:revision>
  <dcterms:created xsi:type="dcterms:W3CDTF">2017-10-20T12:13:00Z</dcterms:created>
  <dcterms:modified xsi:type="dcterms:W3CDTF">2017-10-22T20:09:00Z</dcterms:modified>
</cp:coreProperties>
</file>